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p>
    <w:p>
      <w:pPr>
        <w:spacing w:after="160"/>
      </w:pPr>
    </w:p>
    <w:p>
      <w:pPr>
        <w:spacing w:after="160"/>
      </w:pPr>
    </w:p>
    <w:p>
      <w:pPr>
        <w:spacing w:after="360"/>
        <w:jc w:val="center"/>
      </w:pPr>
      <w:r>
        <w:rPr>
          <w:rFonts w:ascii="Noto Sans CJK SC" w:hAnsi="Noto Sans CJK SC" w:eastAsia="Noto Sans CJK SC"/>
          <w:b/>
          <w:color w:val="9A7330"/>
          <w:sz w:val="21"/>
        </w:rPr>
        <w:t>THE CAGED CITY · ART &amp; CONCEPT BIBLE</w:t>
      </w:r>
    </w:p>
    <w:p>
      <w:pPr>
        <w:pStyle w:val="Title"/>
        <w:jc w:val="center"/>
      </w:pPr>
      <w:r>
        <w:t>《笼城》</w:t>
      </w:r>
    </w:p>
    <w:p>
      <w:pPr>
        <w:pStyle w:val="Subtitle"/>
        <w:jc w:val="center"/>
      </w:pPr>
      <w:r>
        <w:t>参赛城市美术与概念设定集</w:t>
      </w:r>
    </w:p>
    <w:p>
      <w:pPr>
        <w:spacing w:before="200" w:after="520"/>
        <w:jc w:val="center"/>
      </w:pPr>
      <w:r>
        <w:rPr>
          <w:rFonts w:ascii="Noto Sans CJK SC" w:hAnsi="Noto Sans CJK SC" w:eastAsia="Noto Sans CJK SC"/>
          <w:b/>
          <w:color w:val="244C66"/>
          <w:sz w:val="24"/>
        </w:rPr>
        <w:t>纯城市设定版 · 2026-08-13 当前正典</w:t>
      </w:r>
    </w:p>
    <w:p>
      <w:pPr>
        <w:keepNext/>
        <w:spacing w:before="0" w:after="0"/>
        <w:jc w:val="center"/>
      </w:pPr>
      <w:r>
        <w:drawing>
          <wp:inline xmlns:a="http://schemas.openxmlformats.org/drawingml/2006/main" xmlns:pic="http://schemas.openxmlformats.org/drawingml/2006/picture">
            <wp:extent cx="5806440" cy="3267859"/>
            <wp:docPr id="38" name="Picture 38" descr="Image: image48.jpg"/>
            <wp:cNvGraphicFramePr>
              <a:graphicFrameLocks noChangeAspect="1"/>
            </wp:cNvGraphicFramePr>
            <a:graphic>
              <a:graphicData uri="http://schemas.openxmlformats.org/drawingml/2006/picture">
                <pic:pic>
                  <pic:nvPicPr>
                    <pic:cNvPr id="0" name="裂口大全景.jpg"/>
                    <pic:cNvPicPr/>
                  </pic:nvPicPr>
                  <pic:blipFill>
                    <a:blip r:embed="rId58"/>
                    <a:stretch>
                      <a:fillRect/>
                    </a:stretch>
                  </pic:blipFill>
                  <pic:spPr>
                    <a:xfrm>
                      <a:off x="0" y="0"/>
                      <a:ext cx="5806440" cy="3267859"/>
                    </a:xfrm>
                    <a:prstGeom prst="rect"/>
                  </pic:spPr>
                </pic:pic>
              </a:graphicData>
            </a:graphic>
          </wp:inline>
        </w:drawing>
      </w:r>
    </w:p>
    <w:p>
      <w:pPr>
        <w:pStyle w:val="Smallnote"/>
        <w:keepNext w:val="0"/>
        <w:keepLines/>
        <w:spacing w:after="140"/>
        <w:jc w:val="center"/>
      </w:pPr>
      <w:r>
        <w:t>总城宏观构图参考：裂口水域位于共享边界，高墙里形成远处人工天际线，兽山沿自然山体展开，废机坟以机械尸山成为低处视觉锚点。</w:t>
      </w:r>
    </w:p>
    <w:p>
      <w:pPr>
        <w:spacing w:before="160"/>
        <w:jc w:val="center"/>
      </w:pPr>
      <w:r>
        <w:rPr>
          <w:rFonts w:ascii="Noto Sans CJK SC" w:hAnsi="Noto Sans CJK SC" w:eastAsia="Noto Sans CJK SC"/>
          <w:b w:val="0"/>
          <w:color w:val="66737E"/>
          <w:sz w:val="19"/>
        </w:rPr>
        <w:t>用途：比赛提交 / 城市美术开发 / 场景与环境资产统一</w:t>
      </w:r>
    </w:p>
    <w:p>
      <w:r>
        <w:br w:type="page"/>
      </w:r>
    </w:p>
    <w:p>
      <w:pPr>
        <w:pStyle w:val="Heading1"/>
      </w:pPr>
      <w:r>
        <w:t>0. 本档案的使用方法</w:t>
      </w:r>
    </w:p>
    <w:tbl>
      <w:tblPr>
        <w:tblW w:type="dxa" w:w="9360"/>
        <w:jc w:val="center"/>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DCEAF0"/>
          </w:tcPr>
          <w:p>
            <w:pPr>
              <w:spacing w:after="0"/>
            </w:pPr>
            <w:r>
              <w:rPr>
                <w:rFonts w:ascii="Noto Sans CJK SC" w:hAnsi="Noto Sans CJK SC" w:eastAsia="Noto Sans CJK SC"/>
                <w:b/>
                <w:color w:val="244C66"/>
                <w:sz w:val="21"/>
              </w:rPr>
              <w:t xml:space="preserve">[已确认] 文档边界  </w:t>
            </w:r>
            <w:r>
              <w:rPr>
                <w:rFonts w:ascii="Noto Sans CJK SC" w:hAnsi="Noto Sans CJK SC" w:eastAsia="Noto Sans CJK SC"/>
                <w:b w:val="0"/>
                <w:color w:val="17212B"/>
                <w:sz w:val="21"/>
              </w:rPr>
              <w:t>本版只记录城市美术、概念设计、居民类型、阶层结构、空间系统、视觉冲突与环境资产归属；不讲主线故事，不写人物经历或结局，不用剧情填补世界观空白。</w:t>
            </w:r>
          </w:p>
        </w:tc>
        <w:trPr>
          <w:tblHeader/>
        </w:trPr>
      </w:tr>
    </w:tbl>
    <w:p>
      <w:pPr>
        <w:spacing w:after="40"/>
      </w:pPr>
    </w:p>
    <w:tbl>
      <w:tblPr>
        <w:tblStyle w:val="TableGrid"/>
        <w:tblW w:type="dxa" w:w="9360"/>
        <w:jc w:val="center"/>
        <w:tblLayout w:type="fixed"/>
        <w:tblLook w:firstColumn="1" w:firstRow="1" w:lastColumn="0" w:lastRow="0" w:noHBand="0" w:noVBand="1" w:val="04A0"/>
        <w:tblInd w:w="120" w:type="dxa"/>
      </w:tblPr>
      <w:tblGrid>
        <w:gridCol w:w="1450"/>
        <w:gridCol w:w="3300"/>
        <w:gridCol w:w="4610"/>
      </w:tblGrid>
      <w:tr>
        <w:trPr>
          <w:tblHeader w:val="true"/>
          <w:cantSplit/>
        </w:trPr>
        <w:tc>
          <w:tcPr>
            <w:tcW w:type="dxa" w:w="145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标记</w:t>
            </w:r>
          </w:p>
        </w:tc>
        <w:tc>
          <w:tcPr>
            <w:tcW w:type="dxa" w:w="33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含义</w:t>
            </w:r>
          </w:p>
        </w:tc>
        <w:tc>
          <w:tcPr>
            <w:tcW w:type="dxa" w:w="461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制作时的处理</w:t>
            </w:r>
          </w:p>
        </w:tc>
      </w:tr>
      <w:tr>
        <w:trPr>
          <w:cantSplit/>
        </w:trPr>
        <w:tc>
          <w:tcPr>
            <w:tcW w:type="dxa" w:w="14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已确认</w:t>
            </w:r>
          </w:p>
        </w:tc>
        <w:tc>
          <w:tcPr>
            <w:tcW w:type="dxa" w:w="33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创作者已经明确说明的正典。</w:t>
            </w:r>
          </w:p>
        </w:tc>
        <w:tc>
          <w:tcPr>
            <w:tcW w:type="dxa" w:w="46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可直接用于比赛材料与后续生产。</w:t>
            </w:r>
          </w:p>
        </w:tc>
      </w:tr>
      <w:tr>
        <w:trPr>
          <w:cantSplit/>
        </w:trPr>
        <w:tc>
          <w:tcPr>
            <w:tcW w:type="dxa" w:w="14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生产锁定</w:t>
            </w:r>
          </w:p>
        </w:tc>
        <w:tc>
          <w:tcPr>
            <w:tcW w:type="dxa" w:w="33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已影响既有城市、建筑、道具或镜头连续性。</w:t>
            </w:r>
          </w:p>
        </w:tc>
        <w:tc>
          <w:tcPr>
            <w:tcW w:type="dxa" w:w="46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修改前必须核对已有资产。</w:t>
            </w:r>
          </w:p>
        </w:tc>
      </w:tr>
      <w:tr>
        <w:trPr>
          <w:cantSplit/>
        </w:trPr>
        <w:tc>
          <w:tcPr>
            <w:tcW w:type="dxa" w:w="14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成片事实</w:t>
            </w:r>
          </w:p>
        </w:tc>
        <w:tc>
          <w:tcPr>
            <w:tcW w:type="dxa" w:w="33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最终平台预告已经实际呈现。</w:t>
            </w:r>
          </w:p>
        </w:tc>
        <w:tc>
          <w:tcPr>
            <w:tcW w:type="dxa" w:w="46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与早期文字冲突时，以成片为准。</w:t>
            </w:r>
          </w:p>
        </w:tc>
      </w:tr>
      <w:tr>
        <w:trPr>
          <w:cantSplit/>
        </w:trPr>
        <w:tc>
          <w:tcPr>
            <w:tcW w:type="dxa" w:w="14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概念提案</w:t>
            </w:r>
          </w:p>
        </w:tc>
        <w:tc>
          <w:tcPr>
            <w:tcW w:type="dxa" w:w="33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根据已确认规则推导的美术开发方向。</w:t>
            </w:r>
          </w:p>
        </w:tc>
        <w:tc>
          <w:tcPr>
            <w:tcW w:type="dxa" w:w="46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可继续画图，但不自动升级为正典。</w:t>
            </w:r>
          </w:p>
        </w:tc>
      </w:tr>
      <w:tr>
        <w:trPr>
          <w:cantSplit/>
        </w:trPr>
        <w:tc>
          <w:tcPr>
            <w:tcW w:type="dxa" w:w="14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待确认</w:t>
            </w:r>
          </w:p>
        </w:tc>
        <w:tc>
          <w:tcPr>
            <w:tcW w:type="dxa" w:w="33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资料不足、版本冲突或创作者尚未命名。</w:t>
            </w:r>
          </w:p>
        </w:tc>
        <w:tc>
          <w:tcPr>
            <w:tcW w:type="dxa" w:w="46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保留空白，不猜姓名、机构、权力来源。</w:t>
            </w:r>
          </w:p>
        </w:tc>
      </w:tr>
    </w:tbl>
    <w:p>
      <w:pPr>
        <w:spacing w:after="40"/>
      </w:pPr>
    </w:p>
    <w:p>
      <w:pPr>
        <w:pStyle w:val="ListBullet"/>
      </w:pPr>
      <w:r>
        <w:rPr>
          <w:rFonts w:ascii="Noto Sans CJK SC" w:hAnsi="Noto Sans CJK SC" w:eastAsia="Noto Sans CJK SC"/>
        </w:rPr>
        <w:t>正典优先级：创作者最新明确说明 ＞ 最终成片与正式设定图 ＞ 最新生产文档 ＞ 旧档案与生成图占位文字。</w:t>
      </w:r>
    </w:p>
    <w:p>
      <w:pPr>
        <w:pStyle w:val="ListBullet"/>
      </w:pPr>
      <w:r>
        <w:rPr>
          <w:rFonts w:ascii="Noto Sans CJK SC" w:hAnsi="Noto Sans CJK SC" w:eastAsia="Noto Sans CJK SC"/>
        </w:rPr>
        <w:t>旧地图中的旧区域名、面积比例、屏障名称和交通名称只可作历史构图参考，不进入本版正文。</w:t>
      </w:r>
    </w:p>
    <w:p>
      <w:pPr>
        <w:pStyle w:val="ListBullet"/>
      </w:pPr>
      <w:r>
        <w:rPr>
          <w:rFonts w:ascii="Noto Sans CJK SC" w:hAnsi="Noto Sans CJK SC" w:eastAsia="Noto Sans CJK SC"/>
        </w:rPr>
        <w:t>生成图中的 ARCANE、RIOT GAMES、FORTICHE、ZAUN 与英文占位姓名一律视为无效文字。</w:t>
      </w:r>
    </w:p>
    <w:p>
      <w:pPr>
        <w:pStyle w:val="ListBullet"/>
      </w:pPr>
      <w:r>
        <w:rPr>
          <w:rFonts w:ascii="Noto Sans CJK SC" w:hAnsi="Noto Sans CJK SC" w:eastAsia="Noto Sans CJK SC"/>
        </w:rPr>
        <w:t>高墙里、兽山、废机坟是三套文明辖区；裂口是共享边界，不是第四个独立文明。</w:t>
      </w:r>
    </w:p>
    <w:p>
      <w:pPr>
        <w:pStyle w:val="ListBullet"/>
      </w:pPr>
      <w:r>
        <w:rPr>
          <w:rFonts w:ascii="Noto Sans CJK SC" w:hAnsi="Noto Sans CJK SC" w:eastAsia="Noto Sans CJK SC"/>
        </w:rPr>
        <w:t>外环带只确认存在；功能、居民与视觉体系尚未建立，本版不替创作者补写。</w:t>
      </w:r>
    </w:p>
    <w:tbl>
      <w:tblPr>
        <w:tblW w:type="dxa" w:w="9360"/>
        <w:jc w:val="center"/>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DDEBDD"/>
          </w:tcPr>
          <w:p>
            <w:pPr>
              <w:spacing w:after="0"/>
            </w:pPr>
            <w:r>
              <w:rPr>
                <w:rFonts w:ascii="Noto Sans CJK SC" w:hAnsi="Noto Sans CJK SC" w:eastAsia="Noto Sans CJK SC"/>
                <w:b/>
                <w:color w:val="244C66"/>
                <w:sz w:val="21"/>
              </w:rPr>
              <w:t xml:space="preserve">[生产锁定] 统一渲染风格  </w:t>
            </w:r>
            <w:r>
              <w:rPr>
                <w:rFonts w:ascii="Noto Sans CJK SC" w:hAnsi="Noto Sans CJK SC" w:eastAsia="Noto Sans CJK SC"/>
                <w:b w:val="0"/>
                <w:color w:val="17212B"/>
                <w:sz w:val="21"/>
              </w:rPr>
              <w:t>电影级三渲二动画质感：3D体积结构结合2D手绘表面；高反差方向光、大面积几何明暗色块、可见干刷与不规则边缘；人形居民面部强调雕塑式块面；金属使用块状反光、断裂高光、划痕与掉漆；选择性轮廓线；低饱和电影色板与局部高饱和点色。</w:t>
            </w:r>
          </w:p>
        </w:tc>
        <w:trPr>
          <w:tblHeader/>
        </w:trPr>
      </w:tr>
    </w:tbl>
    <w:p>
      <w:pPr>
        <w:spacing w:before="80" w:after="200"/>
        <w:ind w:left="160"/>
        <w:jc w:val="left"/>
        <w:pageBreakBefore/>
        <w:shd w:fill="8E6B2D"/>
      </w:pPr>
      <w:r>
        <w:rPr>
          <w:rFonts w:ascii="Noto Sans CJK SC" w:hAnsi="Noto Sans CJK SC" w:eastAsia="Noto Sans CJK SC"/>
          <w:b/>
          <w:color w:val="FFFFFF"/>
          <w:sz w:val="32"/>
        </w:rPr>
        <w:t>总城  /  总标题 / 区域图腾 / 城市章节识别</w:t>
      </w:r>
    </w:p>
    <w:p>
      <w:pPr>
        <w:pStyle w:val="Heading1"/>
      </w:pPr>
      <w:r>
        <w:t>0.1 笼城总标志与区域图腾系统</w:t>
      </w:r>
    </w:p>
    <w:p>
      <w:pPr>
        <w:keepNext/>
        <w:spacing w:before="40" w:after="60"/>
        <w:jc w:val="center"/>
      </w:pPr>
      <w:r>
        <w:drawing>
          <wp:inline xmlns:a="http://schemas.openxmlformats.org/drawingml/2006/main" xmlns:pic="http://schemas.openxmlformats.org/drawingml/2006/picture">
            <wp:extent cx="5897880" cy="3319321"/>
            <wp:docPr id="30" name="Picture 30" descr="Image: image40.jpg"/>
            <wp:cNvGraphicFramePr>
              <a:graphicFrameLocks noChangeAspect="1"/>
            </wp:cNvGraphicFramePr>
            <a:graphic>
              <a:graphicData uri="http://schemas.openxmlformats.org/drawingml/2006/picture">
                <pic:pic>
                  <pic:nvPicPr>
                    <pic:cNvPr id="0" name="金属机械笼城标志海报.jpg"/>
                    <pic:cNvPicPr/>
                  </pic:nvPicPr>
                  <pic:blipFill>
                    <a:blip r:embed="rId50"/>
                    <a:stretch>
                      <a:fillRect/>
                    </a:stretch>
                  </pic:blipFill>
                  <pic:spPr>
                    <a:xfrm>
                      <a:off x="0" y="0"/>
                      <a:ext cx="5897880" cy="3319321"/>
                    </a:xfrm>
                    <a:prstGeom prst="rect"/>
                  </pic:spPr>
                </pic:pic>
              </a:graphicData>
            </a:graphic>
          </wp:inline>
        </w:drawing>
      </w:r>
    </w:p>
    <w:p>
      <w:pPr>
        <w:pStyle w:val="Smallnote"/>
        <w:keepNext w:val="0"/>
        <w:spacing w:after="140"/>
        <w:jc w:val="center"/>
      </w:pPr>
      <w:r>
        <w:rPr>
          <w:rFonts w:ascii="Noto Sans CJK SC" w:hAnsi="Noto Sans CJK SC" w:eastAsia="Noto Sans CJK SC"/>
          <w:b w:val="0"/>
          <w:color w:val="66737E"/>
          <w:sz w:val="17"/>
        </w:rPr>
        <w:t>笼城总标志现有资产：中文机械字形与 LONGCHENG / THE CAGED CITY 组合。黑底白字版本已用于现有宣传体系；英文品牌名仍按当前呈现记录。</w:t>
      </w:r>
    </w:p>
    <w:p>
      <w:pPr>
        <w:spacing w:before="80" w:after="200"/>
        <w:ind w:left="160"/>
        <w:jc w:val="left"/>
        <w:pageBreakBefore/>
        <w:shd w:fill="8E6B2D"/>
      </w:pPr>
      <w:r>
        <w:rPr>
          <w:rFonts w:ascii="Noto Sans CJK SC" w:hAnsi="Noto Sans CJK SC" w:eastAsia="Noto Sans CJK SC"/>
          <w:b/>
          <w:color w:val="FFFFFF"/>
          <w:sz w:val="32"/>
        </w:rPr>
        <w:t>总城  /  人工秩序 / 原生生命</w:t>
      </w:r>
    </w:p>
    <w:p>
      <w:pPr>
        <w:pStyle w:val="Heading1"/>
      </w:pPr>
      <w:r>
        <w:t>0.2 高墙里与兽山正式图腾</w:t>
      </w:r>
    </w:p>
    <w:p>
      <w:pPr>
        <w:keepNext/>
        <w:spacing w:before="0" w:after="0"/>
        <w:jc w:val="center"/>
      </w:pPr>
      <w:r>
        <w:drawing>
          <wp:inline xmlns:a="http://schemas.openxmlformats.org/drawingml/2006/main" xmlns:pic="http://schemas.openxmlformats.org/drawingml/2006/picture">
            <wp:extent cx="2971800" cy="2971800"/>
            <wp:docPr id="35" name="Picture 35" descr="Image: image45.jpg"/>
            <wp:cNvGraphicFramePr>
              <a:graphicFrameLocks noChangeAspect="1"/>
            </wp:cNvGraphicFramePr>
            <a:graphic>
              <a:graphicData uri="http://schemas.openxmlformats.org/drawingml/2006/picture">
                <pic:pic>
                  <pic:nvPicPr>
                    <pic:cNvPr id="0" name="LOGO图腾-高墙里.jpg"/>
                    <pic:cNvPicPr/>
                  </pic:nvPicPr>
                  <pic:blipFill>
                    <a:blip r:embed="rId55"/>
                    <a:stretch>
                      <a:fillRect/>
                    </a:stretch>
                  </pic:blipFill>
                  <pic:spPr>
                    <a:xfrm>
                      <a:off x="0" y="0"/>
                      <a:ext cx="2971800" cy="2971800"/>
                    </a:xfrm>
                    <a:prstGeom prst="rect"/>
                  </pic:spPr>
                </pic:pic>
              </a:graphicData>
            </a:graphic>
          </wp:inline>
        </w:drawing>
      </w:r>
    </w:p>
    <w:p>
      <w:pPr>
        <w:pStyle w:val="Smallnote"/>
        <w:keepNext w:val="0"/>
        <w:keepLines/>
        <w:spacing w:after="140"/>
        <w:jc w:val="center"/>
      </w:pPr>
      <w:r>
        <w:t>高墙里正式图腾：垂直巨城与监控之眼构成权力主体；上层人物剪影站在承重人群之上，直接表现资源、监视、阶层与城市重量。</w:t>
      </w:r>
    </w:p>
    <w:p>
      <w:pPr>
        <w:keepNext/>
        <w:spacing w:before="0" w:after="0"/>
        <w:jc w:val="center"/>
      </w:pPr>
      <w:r>
        <w:drawing>
          <wp:inline xmlns:a="http://schemas.openxmlformats.org/drawingml/2006/main" xmlns:pic="http://schemas.openxmlformats.org/drawingml/2006/picture">
            <wp:extent cx="2971800" cy="2971800"/>
            <wp:docPr id="36" name="Picture 36" descr="Image: image46.jpg"/>
            <wp:cNvGraphicFramePr>
              <a:graphicFrameLocks noChangeAspect="1"/>
            </wp:cNvGraphicFramePr>
            <a:graphic>
              <a:graphicData uri="http://schemas.openxmlformats.org/drawingml/2006/picture">
                <pic:pic>
                  <pic:nvPicPr>
                    <pic:cNvPr id="0" name="LOGO图腾-兽山.jpg"/>
                    <pic:cNvPicPr/>
                  </pic:nvPicPr>
                  <pic:blipFill>
                    <a:blip r:embed="rId56"/>
                    <a:stretch>
                      <a:fillRect/>
                    </a:stretch>
                  </pic:blipFill>
                  <pic:spPr>
                    <a:xfrm>
                      <a:off x="0" y="0"/>
                      <a:ext cx="2971800" cy="2971800"/>
                    </a:xfrm>
                    <a:prstGeom prst="rect"/>
                  </pic:spPr>
                </pic:pic>
              </a:graphicData>
            </a:graphic>
          </wp:inline>
        </w:drawing>
      </w:r>
    </w:p>
    <w:p>
      <w:pPr>
        <w:pStyle w:val="Smallnote"/>
        <w:keepNext w:val="0"/>
        <w:keepLines/>
        <w:spacing w:after="140"/>
        <w:jc w:val="center"/>
      </w:pPr>
      <w:r>
        <w:t>兽山正式图腾：山峰与兽首融为一体，角、獠牙、毛发和岩体使用同一笔触，表现原生生命塑造地形与城市的关系。</w:t>
      </w:r>
    </w:p>
    <w:p>
      <w:pPr>
        <w:spacing w:before="80" w:after="200"/>
        <w:ind w:left="160"/>
        <w:jc w:val="left"/>
        <w:pageBreakBefore/>
        <w:shd w:fill="8E6B2D"/>
      </w:pPr>
      <w:r>
        <w:rPr>
          <w:rFonts w:ascii="Noto Sans CJK SC" w:hAnsi="Noto Sans CJK SC" w:eastAsia="Noto Sans CJK SC"/>
          <w:b/>
          <w:color w:val="FFFFFF"/>
          <w:sz w:val="32"/>
        </w:rPr>
        <w:t>总城  /  重组文明 / 共享边界</w:t>
      </w:r>
    </w:p>
    <w:p>
      <w:pPr>
        <w:pStyle w:val="Heading1"/>
      </w:pPr>
      <w:r>
        <w:t>0.3 废机坟图腾与裂口说明</w:t>
      </w:r>
    </w:p>
    <w:p>
      <w:pPr>
        <w:keepNext/>
        <w:spacing w:before="0" w:after="0"/>
        <w:jc w:val="center"/>
      </w:pPr>
      <w:r>
        <w:drawing>
          <wp:inline xmlns:a="http://schemas.openxmlformats.org/drawingml/2006/main" xmlns:pic="http://schemas.openxmlformats.org/drawingml/2006/picture">
            <wp:extent cx="2971800" cy="2971800"/>
            <wp:docPr id="37" name="Picture 37" descr="Image: image47.jpg"/>
            <wp:cNvGraphicFramePr>
              <a:graphicFrameLocks noChangeAspect="1"/>
            </wp:cNvGraphicFramePr>
            <a:graphic>
              <a:graphicData uri="http://schemas.openxmlformats.org/drawingml/2006/picture">
                <pic:pic>
                  <pic:nvPicPr>
                    <pic:cNvPr id="0" name="LOGO图腾-废机坟(1).jpg"/>
                    <pic:cNvPicPr/>
                  </pic:nvPicPr>
                  <pic:blipFill>
                    <a:blip r:embed="rId57"/>
                    <a:stretch>
                      <a:fillRect/>
                    </a:stretch>
                  </pic:blipFill>
                  <pic:spPr>
                    <a:xfrm>
                      <a:off x="0" y="0"/>
                      <a:ext cx="2971800" cy="2971800"/>
                    </a:xfrm>
                    <a:prstGeom prst="rect"/>
                  </pic:spPr>
                </pic:pic>
              </a:graphicData>
            </a:graphic>
          </wp:inline>
        </w:drawing>
      </w:r>
    </w:p>
    <w:p>
      <w:pPr>
        <w:pStyle w:val="Smallnote"/>
        <w:keepNext w:val="0"/>
        <w:keepLines/>
        <w:spacing w:after="140"/>
        <w:jc w:val="center"/>
      </w:pPr>
      <w:r>
        <w:t>废机坟正式图腾：机械圆脸被城市齿冠、管线、断裂构件与残损外壳包围，表现被遗弃的机器人用废品重组社会并萌生自我。</w:t>
      </w:r>
    </w:p>
    <w:p>
      <w:pPr>
        <w:pStyle w:val="Smallnote"/>
        <w:keepLines/>
        <w:jc w:val="center"/>
      </w:pPr>
      <w:r>
        <w:t>裂口没有独立图腾，仅作为高墙里、兽山与废机坟的三方共享边界使用区域名称识别。</w:t>
      </w:r>
    </w:p>
    <w:p>
      <w:pPr>
        <w:spacing w:before="80" w:after="200"/>
        <w:ind w:left="160"/>
        <w:jc w:val="left"/>
        <w:pageBreakBefore/>
        <w:shd w:fill="8E6B2D"/>
      </w:pPr>
      <w:r>
        <w:rPr>
          <w:rFonts w:ascii="Noto Sans CJK SC" w:hAnsi="Noto Sans CJK SC" w:eastAsia="Noto Sans CJK SC"/>
          <w:b/>
          <w:color w:val="FFFFFF"/>
          <w:sz w:val="32"/>
        </w:rPr>
        <w:t>总城  /  宏观城市结构</w:t>
      </w:r>
    </w:p>
    <w:p>
      <w:pPr>
        <w:pStyle w:val="Heading1"/>
      </w:pPr>
      <w:r>
        <w:t>1. 笼城总览：一座巨城，三套文明，一个共同边界</w:t>
      </w:r>
    </w:p>
    <w:p>
      <w:pPr>
        <w:keepLines w:val="0"/>
      </w:pPr>
      <w:r>
        <w:rPr>
          <w:rFonts w:ascii="Noto Sans CJK SC" w:hAnsi="Noto Sans CJK SC" w:eastAsia="Noto Sans CJK SC"/>
        </w:rPr>
        <w:t>笼城是一座完整巨城。高墙里占据最高人工平台；兽山依托天然悬崖、山体与古老生境展开；废机坟位于更低处，由机械遗骸山与机器人聚落构成；裂口位于三方之间，是宽阔、不规则、不断被交易和通行重新塑形的公共连接带。</w:t>
      </w:r>
    </w:p>
    <w:p>
      <w:pPr>
        <w:keepNext/>
        <w:spacing w:before="0" w:after="0"/>
        <w:jc w:val="center"/>
      </w:pPr>
      <w:r>
        <w:drawing>
          <wp:inline xmlns:a="http://schemas.openxmlformats.org/drawingml/2006/main" xmlns:pic="http://schemas.openxmlformats.org/drawingml/2006/picture">
            <wp:extent cx="5897880" cy="3319321"/>
            <wp:docPr id="39" name="Picture 39" descr="Image: image48.jpg"/>
            <wp:cNvGraphicFramePr>
              <a:graphicFrameLocks noChangeAspect="1"/>
            </wp:cNvGraphicFramePr>
            <a:graphic>
              <a:graphicData uri="http://schemas.openxmlformats.org/drawingml/2006/picture">
                <pic:pic>
                  <pic:nvPicPr>
                    <pic:cNvPr id="0" name="裂口大全景.jpg"/>
                    <pic:cNvPicPr/>
                  </pic:nvPicPr>
                  <pic:blipFill>
                    <a:blip r:embed="rId58"/>
                    <a:stretch>
                      <a:fillRect/>
                    </a:stretch>
                  </pic:blipFill>
                  <pic:spPr>
                    <a:xfrm>
                      <a:off x="0" y="0"/>
                      <a:ext cx="5897880" cy="3319321"/>
                    </a:xfrm>
                    <a:prstGeom prst="rect"/>
                  </pic:spPr>
                </pic:pic>
              </a:graphicData>
            </a:graphic>
          </wp:inline>
        </w:drawing>
      </w:r>
    </w:p>
    <w:p>
      <w:pPr>
        <w:pStyle w:val="Smallnote"/>
        <w:keepNext w:val="0"/>
        <w:keepLines/>
        <w:spacing w:after="140"/>
        <w:jc w:val="center"/>
      </w:pPr>
      <w:r>
        <w:t>总城尺度基准：三种文明在同一大全景中保持可辨轮廓，裂口负责承接水路、桥网、市场和跨区流动，不形成第四套独立城市轮廓。</w:t>
      </w:r>
    </w:p>
    <w:tbl>
      <w:tblPr>
        <w:tblStyle w:val="TableGrid"/>
        <w:tblW w:type="dxa" w:w="9360"/>
        <w:jc w:val="center"/>
        <w:tblLayout w:type="fixed"/>
        <w:tblLook w:firstColumn="1" w:firstRow="1" w:lastColumn="0" w:lastRow="0" w:noHBand="0" w:noVBand="1" w:val="04A0"/>
        <w:tblInd w:w="120" w:type="dxa"/>
      </w:tblPr>
      <w:tblGrid>
        <w:gridCol w:w="1450"/>
        <w:gridCol w:w="2950"/>
        <w:gridCol w:w="2500"/>
        <w:gridCol w:w="2460"/>
      </w:tblGrid>
      <w:tr>
        <w:trPr>
          <w:tblHeader w:val="true"/>
          <w:cantSplit/>
        </w:trPr>
        <w:tc>
          <w:tcPr>
            <w:tcW w:type="dxa" w:w="145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区域</w:t>
            </w:r>
          </w:p>
        </w:tc>
        <w:tc>
          <w:tcPr>
            <w:tcW w:type="dxa" w:w="295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地势与城市形态</w:t>
            </w:r>
          </w:p>
        </w:tc>
        <w:tc>
          <w:tcPr>
            <w:tcW w:type="dxa" w:w="25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视觉母题</w:t>
            </w:r>
          </w:p>
        </w:tc>
        <w:tc>
          <w:tcPr>
            <w:tcW w:type="dxa" w:w="246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主要居民</w:t>
            </w:r>
          </w:p>
        </w:tc>
      </w:tr>
      <w:tr>
        <w:trPr>
          <w:cantSplit/>
        </w:trPr>
        <w:tc>
          <w:tcPr>
            <w:tcW w:type="dxa" w:w="14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高墙里</w:t>
            </w:r>
          </w:p>
        </w:tc>
        <w:tc>
          <w:tcPr>
            <w:tcW w:type="dxa" w:w="29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最高人工高台、巨墙、垂直叠层、深层基座。</w:t>
            </w:r>
          </w:p>
        </w:tc>
        <w:tc>
          <w:tcPr>
            <w:tcW w:type="dxa" w:w="25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洁净权力 / 背光劳动 / 被设计的身体。</w:t>
            </w:r>
          </w:p>
        </w:tc>
        <w:tc>
          <w:tcPr>
            <w:tcW w:type="dxa" w:w="24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人类为主；兽人可进入但不受欢迎；服务机器人与实验体存在。</w:t>
            </w:r>
          </w:p>
        </w:tc>
      </w:tr>
      <w:tr>
        <w:trPr>
          <w:cantSplit/>
        </w:trPr>
        <w:tc>
          <w:tcPr>
            <w:tcW w:type="dxa" w:w="14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兽山</w:t>
            </w:r>
          </w:p>
        </w:tc>
        <w:tc>
          <w:tcPr>
            <w:tcW w:type="dxa" w:w="29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自然山体、悬崖聚落、古桥、洞穴与巨兽生境。</w:t>
            </w:r>
          </w:p>
        </w:tc>
        <w:tc>
          <w:tcPr>
            <w:tcW w:type="dxa" w:w="25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原生生命 / 岩土尺度 / 血脉与记忆。</w:t>
            </w:r>
          </w:p>
        </w:tc>
        <w:tc>
          <w:tcPr>
            <w:tcW w:type="dxa" w:w="24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原生兽人与真正神兽。</w:t>
            </w:r>
          </w:p>
        </w:tc>
      </w:tr>
      <w:tr>
        <w:trPr>
          <w:cantSplit/>
        </w:trPr>
        <w:tc>
          <w:tcPr>
            <w:tcW w:type="dxa" w:w="14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废机坟</w:t>
            </w:r>
          </w:p>
        </w:tc>
        <w:tc>
          <w:tcPr>
            <w:tcW w:type="dxa" w:w="29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机械尸山、山体空腔、回收街区、信号塔、地下轨道。</w:t>
            </w:r>
          </w:p>
        </w:tc>
        <w:tc>
          <w:tcPr>
            <w:tcW w:type="dxa" w:w="25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被遗弃的工业文明 / 零件再生 / 机器自我。</w:t>
            </w:r>
          </w:p>
        </w:tc>
        <w:tc>
          <w:tcPr>
            <w:tcW w:type="dxa" w:w="24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纯机器人常住社会。</w:t>
            </w:r>
          </w:p>
        </w:tc>
      </w:tr>
      <w:tr>
        <w:trPr>
          <w:cantSplit/>
        </w:trPr>
        <w:tc>
          <w:tcPr>
            <w:tcW w:type="dxa" w:w="14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裂口</w:t>
            </w:r>
          </w:p>
        </w:tc>
        <w:tc>
          <w:tcPr>
            <w:tcW w:type="dxa" w:w="29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宽阔不规则边界、水系、旧桥、夜市、车站与临时建筑。</w:t>
            </w:r>
          </w:p>
        </w:tc>
        <w:tc>
          <w:tcPr>
            <w:tcW w:type="dxa" w:w="25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制度漏洞 / 混杂交易 / 临时秩序。</w:t>
            </w:r>
          </w:p>
        </w:tc>
        <w:tc>
          <w:tcPr>
            <w:tcW w:type="dxa" w:w="24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流动的人类、兽人、机器人、中间人与商贩。</w:t>
            </w:r>
          </w:p>
        </w:tc>
      </w:tr>
    </w:tbl>
    <w:p>
      <w:pPr>
        <w:spacing w:before="80" w:after="200"/>
        <w:ind w:left="160"/>
        <w:jc w:val="left"/>
        <w:pageBreakBefore/>
        <w:shd w:fill="8E6B2D"/>
      </w:pPr>
      <w:r>
        <w:rPr>
          <w:rFonts w:ascii="Noto Sans CJK SC" w:hAnsi="Noto Sans CJK SC" w:eastAsia="Noto Sans CJK SC"/>
          <w:b/>
          <w:color w:val="FFFFFF"/>
          <w:sz w:val="32"/>
        </w:rPr>
        <w:t>总城  /  垂直关系 / 横向联系</w:t>
      </w:r>
    </w:p>
    <w:p>
      <w:pPr>
        <w:pStyle w:val="Heading1"/>
      </w:pPr>
      <w:r>
        <w:t>1.1 总体城市规划与视线组织</w:t>
      </w:r>
    </w:p>
    <w:p>
      <w:pPr>
        <w:pStyle w:val="ListBullet"/>
      </w:pPr>
      <w:r>
        <w:rPr>
          <w:rFonts w:ascii="Noto Sans CJK SC" w:hAnsi="Noto Sans CJK SC" w:eastAsia="Noto Sans CJK SC"/>
        </w:rPr>
        <w:t>最高点：高墙里的中央高台、行政与科研天际线，是权力的可见标志。</w:t>
      </w:r>
    </w:p>
    <w:p>
      <w:pPr>
        <w:pStyle w:val="ListBullet"/>
      </w:pPr>
      <w:r>
        <w:rPr>
          <w:rFonts w:ascii="Noto Sans CJK SC" w:hAnsi="Noto Sans CJK SC" w:eastAsia="Noto Sans CJK SC"/>
        </w:rPr>
        <w:t>自然高点：兽山山脊、悬崖古建与守门空间，不服从高墙里的几何秩序。</w:t>
      </w:r>
    </w:p>
    <w:p>
      <w:pPr>
        <w:pStyle w:val="ListBullet"/>
      </w:pPr>
      <w:r>
        <w:rPr>
          <w:rFonts w:ascii="Noto Sans CJK SC" w:hAnsi="Noto Sans CJK SC" w:eastAsia="Noto Sans CJK SC"/>
        </w:rPr>
        <w:t>共同中层：裂口的水面、桥路、车站与市场形成横向交通网，承担跨文明接触。</w:t>
      </w:r>
    </w:p>
    <w:p>
      <w:pPr>
        <w:pStyle w:val="ListBullet"/>
      </w:pPr>
      <w:r>
        <w:rPr>
          <w:rFonts w:ascii="Noto Sans CJK SC" w:hAnsi="Noto Sans CJK SC" w:eastAsia="Noto Sans CJK SC"/>
        </w:rPr>
        <w:t>最低点：废机坟的机械尸山与地下轨道，把“被抛弃之物”转化为城市地形。</w:t>
      </w:r>
    </w:p>
    <w:p>
      <w:pPr>
        <w:pStyle w:val="ListBullet"/>
      </w:pPr>
      <w:r>
        <w:rPr>
          <w:rFonts w:ascii="Noto Sans CJK SC" w:hAnsi="Noto Sans CJK SC" w:eastAsia="Noto Sans CJK SC"/>
        </w:rPr>
        <w:t>视线原则：同一张总城图里，四个区域必须能通过轮廓、材质、色温与结构逻辑快速辨认，不能只靠字幕区分。</w:t>
      </w:r>
    </w:p>
    <w:tbl>
      <w:tblPr>
        <w:tblStyle w:val="TableGrid"/>
        <w:tblW w:type="dxa" w:w="9360"/>
        <w:jc w:val="center"/>
        <w:tblLayout w:type="fixed"/>
        <w:tblLook w:firstColumn="1" w:firstRow="1" w:lastColumn="0" w:lastRow="0" w:noHBand="0" w:noVBand="1" w:val="04A0"/>
        <w:tblInd w:w="120" w:type="dxa"/>
      </w:tblPr>
      <w:tblGrid>
        <w:gridCol w:w="1350"/>
        <w:gridCol w:w="2000"/>
        <w:gridCol w:w="2000"/>
        <w:gridCol w:w="2000"/>
        <w:gridCol w:w="2010"/>
      </w:tblGrid>
      <w:tr>
        <w:trPr>
          <w:tblHeader w:val="true"/>
          <w:cantSplit/>
        </w:trPr>
        <w:tc>
          <w:tcPr>
            <w:tcW w:type="dxa" w:w="135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系统</w:t>
            </w:r>
          </w:p>
        </w:tc>
        <w:tc>
          <w:tcPr>
            <w:tcW w:type="dxa" w:w="20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高墙里</w:t>
            </w:r>
          </w:p>
        </w:tc>
        <w:tc>
          <w:tcPr>
            <w:tcW w:type="dxa" w:w="20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兽山</w:t>
            </w:r>
          </w:p>
        </w:tc>
        <w:tc>
          <w:tcPr>
            <w:tcW w:type="dxa" w:w="20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废机坟</w:t>
            </w:r>
          </w:p>
        </w:tc>
        <w:tc>
          <w:tcPr>
            <w:tcW w:type="dxa" w:w="201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裂口</w:t>
            </w:r>
          </w:p>
        </w:tc>
      </w:tr>
      <w:tr>
        <w:trPr>
          <w:cantSplit/>
        </w:trPr>
        <w:tc>
          <w:tcPr>
            <w:tcW w:type="dxa" w:w="13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主轮廓</w:t>
            </w:r>
          </w:p>
        </w:tc>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墙、塔、平台、竖向轴线</w:t>
            </w:r>
          </w:p>
        </w:tc>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山、崖、桥、洞、巨兽</w:t>
            </w:r>
          </w:p>
        </w:tc>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尸山、吊臂、塔架、空腔</w:t>
            </w:r>
          </w:p>
        </w:tc>
        <w:tc>
          <w:tcPr>
            <w:tcW w:type="dxa" w:w="20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桥网、水面、棚屋、坡道</w:t>
            </w:r>
          </w:p>
        </w:tc>
      </w:tr>
      <w:tr>
        <w:trPr>
          <w:cantSplit/>
        </w:trPr>
        <w:tc>
          <w:tcPr>
            <w:tcW w:type="dxa" w:w="13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主要材质</w:t>
            </w:r>
          </w:p>
        </w:tc>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白色复材、玻璃、精密金属</w:t>
            </w:r>
          </w:p>
        </w:tc>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岩石、木构、骨角、织物</w:t>
            </w:r>
          </w:p>
        </w:tc>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锈钢、旧漆、线缆、零件</w:t>
            </w:r>
          </w:p>
        </w:tc>
        <w:tc>
          <w:tcPr>
            <w:tcW w:type="dxa" w:w="20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拼接金属、旧木、布棚、霓虹</w:t>
            </w:r>
          </w:p>
        </w:tc>
      </w:tr>
      <w:tr>
        <w:trPr>
          <w:cantSplit/>
        </w:trPr>
        <w:tc>
          <w:tcPr>
            <w:tcW w:type="dxa" w:w="13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光线</w:t>
            </w:r>
          </w:p>
        </w:tc>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人工白昼与冷白控制光</w:t>
            </w:r>
          </w:p>
        </w:tc>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自然天光、雾、火与灵性点光</w:t>
            </w:r>
          </w:p>
        </w:tc>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灰天、雨雾、旧黄灯、信号光</w:t>
            </w:r>
          </w:p>
        </w:tc>
        <w:tc>
          <w:tcPr>
            <w:tcW w:type="dxa" w:w="20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夜色、水面反光、摊灯与杂色霓虹</w:t>
            </w:r>
          </w:p>
        </w:tc>
      </w:tr>
      <w:tr>
        <w:trPr>
          <w:cantSplit/>
        </w:trPr>
        <w:tc>
          <w:tcPr>
            <w:tcW w:type="dxa" w:w="13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移动方式</w:t>
            </w:r>
          </w:p>
        </w:tc>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封闭电梯、垂直轨道、权限通道</w:t>
            </w:r>
          </w:p>
        </w:tc>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山路、古桥、攀爬与兽道</w:t>
            </w:r>
          </w:p>
        </w:tc>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轮式通道、搬运轨、吊运与地下线</w:t>
            </w:r>
          </w:p>
        </w:tc>
        <w:tc>
          <w:tcPr>
            <w:tcW w:type="dxa" w:w="20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步行、舟、临时车道与跨区换乘</w:t>
            </w:r>
          </w:p>
        </w:tc>
      </w:tr>
    </w:tbl>
    <w:p>
      <w:pPr>
        <w:spacing w:after="40"/>
      </w:pPr>
    </w:p>
    <w:tbl>
      <w:tblPr>
        <w:tblW w:type="dxa" w:w="9360"/>
        <w:jc w:val="center"/>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F2DDDD"/>
          </w:tcPr>
          <w:p>
            <w:pPr>
              <w:spacing w:after="0"/>
            </w:pPr>
            <w:r>
              <w:rPr>
                <w:rFonts w:ascii="Noto Sans CJK SC" w:hAnsi="Noto Sans CJK SC" w:eastAsia="Noto Sans CJK SC"/>
                <w:b/>
                <w:color w:val="244C66"/>
                <w:sz w:val="21"/>
              </w:rPr>
              <w:t xml:space="preserve">[待确认] 总城层面的空白  </w:t>
            </w:r>
            <w:r>
              <w:rPr>
                <w:rFonts w:ascii="Noto Sans CJK SC" w:hAnsi="Noto Sans CJK SC" w:eastAsia="Noto Sans CJK SC"/>
                <w:b w:val="0"/>
                <w:color w:val="17212B"/>
                <w:sz w:val="21"/>
              </w:rPr>
              <w:t>三方正式边界屏障、跨区证件制度、唯一主入口、能源总来源、供水总来源与外环带功能均未锁定；本版不采用旧图中的旧名称或数值。</w:t>
            </w:r>
          </w:p>
        </w:tc>
        <w:trPr>
          <w:tblHeader/>
        </w:trPr>
      </w:tr>
    </w:tbl>
    <w:p>
      <w:pPr>
        <w:spacing w:before="80" w:after="200"/>
        <w:ind w:left="160"/>
        <w:jc w:val="left"/>
        <w:pageBreakBefore/>
        <w:shd w:fill="8E6B2D"/>
      </w:pPr>
      <w:r>
        <w:rPr>
          <w:rFonts w:ascii="Noto Sans CJK SC" w:hAnsi="Noto Sans CJK SC" w:eastAsia="Noto Sans CJK SC"/>
          <w:b/>
          <w:color w:val="FFFFFF"/>
          <w:sz w:val="32"/>
        </w:rPr>
        <w:t>总城  /  统一风格 / 分区差异</w:t>
      </w:r>
    </w:p>
    <w:p>
      <w:pPr>
        <w:pStyle w:val="Heading1"/>
      </w:pPr>
      <w:r>
        <w:t>1.2 总城美术语言与镜头尺度</w:t>
      </w:r>
    </w:p>
    <w:p>
      <w:pPr>
        <w:keepLines w:val="0"/>
      </w:pPr>
      <w:r>
        <w:rPr>
          <w:rFonts w:ascii="Noto Sans CJK SC" w:hAnsi="Noto Sans CJK SC" w:eastAsia="Noto Sans CJK SC"/>
        </w:rPr>
        <w:t>“赛博山海经”不是把古代纹样贴在机械上，而是让三种文明对身体、资源与空间的理解直接变成建筑、服装、交通和生活器物。所有区域共享电影级三渲二质感，但每座城市必须有自己的形体语法。</w:t>
      </w:r>
    </w:p>
    <w:tbl>
      <w:tblPr>
        <w:tblStyle w:val="TableGrid"/>
        <w:tblW w:type="dxa" w:w="9360"/>
        <w:jc w:val="center"/>
        <w:tblLayout w:type="fixed"/>
        <w:tblLook w:firstColumn="1" w:firstRow="1" w:lastColumn="0" w:lastRow="0" w:noHBand="0" w:noVBand="1" w:val="04A0"/>
        <w:tblInd w:w="120" w:type="dxa"/>
      </w:tblPr>
      <w:tblGrid>
        <w:gridCol w:w="1700"/>
        <w:gridCol w:w="7660"/>
      </w:tblGrid>
      <w:tr>
        <w:trPr>
          <w:tblHeader w:val="true"/>
          <w:cantSplit/>
        </w:trPr>
        <w:tc>
          <w:tcPr>
            <w:tcW w:type="dxa" w:w="17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层级</w:t>
            </w:r>
          </w:p>
        </w:tc>
        <w:tc>
          <w:tcPr>
            <w:tcW w:type="dxa" w:w="766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设计要求</w:t>
            </w:r>
          </w:p>
        </w:tc>
      </w:tr>
      <w:tr>
        <w:trPr>
          <w:cantSplit/>
        </w:trPr>
        <w:tc>
          <w:tcPr>
            <w:tcW w:type="dxa" w:w="17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远景</w:t>
            </w:r>
          </w:p>
        </w:tc>
        <w:tc>
          <w:tcPr>
            <w:tcW w:type="dxa" w:w="76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先用城市轮廓辨认区域：高墙里强调几何秩序，兽山强调天然不规则，废机坟强调遗骸堆积，裂口强调交错通路。</w:t>
            </w:r>
          </w:p>
        </w:tc>
      </w:tr>
      <w:tr>
        <w:trPr>
          <w:cantSplit/>
        </w:trPr>
        <w:tc>
          <w:tcPr>
            <w:tcW w:type="dxa" w:w="17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中景</w:t>
            </w:r>
          </w:p>
        </w:tc>
        <w:tc>
          <w:tcPr>
            <w:tcW w:type="dxa" w:w="76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通过居民密度、路面组织、标识系统、栏杆/管线/屋檐等中型元素建立生活逻辑。</w:t>
            </w:r>
          </w:p>
        </w:tc>
      </w:tr>
      <w:tr>
        <w:trPr>
          <w:cantSplit/>
        </w:trPr>
        <w:tc>
          <w:tcPr>
            <w:tcW w:type="dxa" w:w="17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近景</w:t>
            </w:r>
          </w:p>
        </w:tc>
        <w:tc>
          <w:tcPr>
            <w:tcW w:type="dxa" w:w="76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让材质讲社会：上层金属完整且反光受控；底层和废机坟可见划痕、焊点、补丁、油渍与再利用痕迹。</w:t>
            </w:r>
          </w:p>
        </w:tc>
      </w:tr>
      <w:tr>
        <w:trPr>
          <w:cantSplit/>
        </w:trPr>
        <w:tc>
          <w:tcPr>
            <w:tcW w:type="dxa" w:w="17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居民尺度</w:t>
            </w:r>
          </w:p>
        </w:tc>
        <w:tc>
          <w:tcPr>
            <w:tcW w:type="dxa" w:w="76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居民体型必须和所在城市的通行尺度相容；兽人耳、角、尾、翼和大型肢体要反向影响门洞、座椅、楼梯与公共设施。</w:t>
            </w:r>
          </w:p>
        </w:tc>
      </w:tr>
      <w:tr>
        <w:trPr>
          <w:cantSplit/>
        </w:trPr>
        <w:tc>
          <w:tcPr>
            <w:tcW w:type="dxa" w:w="17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色彩</w:t>
            </w:r>
          </w:p>
        </w:tc>
        <w:tc>
          <w:tcPr>
            <w:tcW w:type="dxa" w:w="76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整体低饱和；高墙里冷白蓝，兽山青灰土金，废机坟灰黑锈橙，裂口暗紫青绿与杂色摊灯。高饱和色只做协议、灵性、信号或危险点色。</w:t>
            </w:r>
          </w:p>
        </w:tc>
      </w:tr>
    </w:tbl>
    <w:p>
      <w:pPr>
        <w:spacing w:before="80" w:after="200"/>
        <w:ind w:left="160"/>
        <w:jc w:val="left"/>
        <w:pageBreakBefore/>
        <w:shd w:fill="315F78"/>
      </w:pPr>
      <w:r>
        <w:rPr>
          <w:rFonts w:ascii="Noto Sans CJK SC" w:hAnsi="Noto Sans CJK SC" w:eastAsia="Noto Sans CJK SC"/>
          <w:b/>
          <w:color w:val="FFFFFF"/>
          <w:sz w:val="32"/>
        </w:rPr>
        <w:t>高墙里  /  城市身份与空间骨架</w:t>
      </w:r>
    </w:p>
    <w:p>
      <w:pPr>
        <w:pStyle w:val="Heading1"/>
      </w:pPr>
      <w:r>
        <w:t>2. 高墙里：最高处的人工秩序</w:t>
      </w:r>
    </w:p>
    <w:p>
      <w:pPr>
        <w:keepNext/>
        <w:spacing w:before="0" w:after="0"/>
        <w:jc w:val="center"/>
      </w:pPr>
      <w:r>
        <w:drawing>
          <wp:inline xmlns:a="http://schemas.openxmlformats.org/drawingml/2006/main" xmlns:pic="http://schemas.openxmlformats.org/drawingml/2006/picture">
            <wp:extent cx="5897880" cy="2528543"/>
            <wp:docPr id="40" name="Picture 40" descr="Image: image49.jpg"/>
            <wp:cNvGraphicFramePr>
              <a:graphicFrameLocks noChangeAspect="1"/>
            </wp:cNvGraphicFramePr>
            <a:graphic>
              <a:graphicData uri="http://schemas.openxmlformats.org/drawingml/2006/picture">
                <pic:pic>
                  <pic:nvPicPr>
                    <pic:cNvPr id="0" name="03-高墙里全景鸟瞰.jpg"/>
                    <pic:cNvPicPr/>
                  </pic:nvPicPr>
                  <pic:blipFill>
                    <a:blip r:embed="rId59"/>
                    <a:stretch>
                      <a:fillRect/>
                    </a:stretch>
                  </pic:blipFill>
                  <pic:spPr>
                    <a:xfrm>
                      <a:off x="0" y="0"/>
                      <a:ext cx="5897880" cy="2528543"/>
                    </a:xfrm>
                    <a:prstGeom prst="rect"/>
                  </pic:spPr>
                </pic:pic>
              </a:graphicData>
            </a:graphic>
          </wp:inline>
        </w:drawing>
      </w:r>
    </w:p>
    <w:p>
      <w:pPr>
        <w:pStyle w:val="Smallnote"/>
        <w:keepNext w:val="0"/>
        <w:keepLines/>
        <w:spacing w:after="140"/>
        <w:jc w:val="center"/>
      </w:pPr>
      <w:r>
        <w:t>高墙里正式全景：完整日照的白色上层悬置在深色承载结构之上，环形巨墙、垂直轴线与上下层体量差共同定义城市身份。</w:t>
      </w:r>
    </w:p>
    <w:p>
      <w:pPr>
        <w:keepLines w:val="0"/>
      </w:pPr>
      <w:r>
        <w:rPr>
          <w:rFonts w:ascii="Noto Sans CJK SC" w:hAnsi="Noto Sans CJK SC" w:eastAsia="Noto Sans CJK SC"/>
        </w:rPr>
        <w:t>高墙里建立在笼城最高的人工平台上，由人类上层掌握资源、医疗、技术、军事、数据和身份解释权。它不是单一的洁净未来城，而是一套从可见天空一直向下延伸到承重基座的垂直社会机器。</w:t>
      </w:r>
    </w:p>
    <w:tbl>
      <w:tblPr>
        <w:tblStyle w:val="TableGrid"/>
        <w:tblW w:type="dxa" w:w="9360"/>
        <w:jc w:val="center"/>
        <w:tblLayout w:type="fixed"/>
        <w:tblLook w:firstColumn="1" w:firstRow="1" w:lastColumn="0" w:lastRow="0" w:noHBand="0" w:noVBand="1" w:val="04A0"/>
        <w:tblInd w:w="120" w:type="dxa"/>
      </w:tblPr>
      <w:tblGrid>
        <w:gridCol w:w="1800"/>
        <w:gridCol w:w="2450"/>
        <w:gridCol w:w="2800"/>
        <w:gridCol w:w="2310"/>
      </w:tblGrid>
      <w:tr>
        <w:trPr>
          <w:tblHeader w:val="true"/>
          <w:cantSplit/>
        </w:trPr>
        <w:tc>
          <w:tcPr>
            <w:tcW w:type="dxa" w:w="18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垂直分区</w:t>
            </w:r>
          </w:p>
        </w:tc>
        <w:tc>
          <w:tcPr>
            <w:tcW w:type="dxa" w:w="245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主要功能</w:t>
            </w:r>
          </w:p>
        </w:tc>
        <w:tc>
          <w:tcPr>
            <w:tcW w:type="dxa" w:w="28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居民与使用者</w:t>
            </w:r>
          </w:p>
        </w:tc>
        <w:tc>
          <w:tcPr>
            <w:tcW w:type="dxa" w:w="231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美术关键词</w:t>
            </w:r>
          </w:p>
        </w:tc>
      </w:tr>
      <w:tr>
        <w:trPr>
          <w:cantSplit/>
        </w:trPr>
        <w:tc>
          <w:tcPr>
            <w:tcW w:type="dxa" w:w="1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上层权力区</w:t>
            </w:r>
          </w:p>
        </w:tc>
        <w:tc>
          <w:tcPr>
            <w:tcW w:type="dxa" w:w="24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决策、资本、科研、医疗、安保、定制消费。</w:t>
            </w:r>
          </w:p>
        </w:tc>
        <w:tc>
          <w:tcPr>
            <w:tcW w:type="dxa" w:w="2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资产与权力持有者、技术管理层、安保与高端服务者。</w:t>
            </w:r>
          </w:p>
        </w:tc>
        <w:tc>
          <w:tcPr>
            <w:tcW w:type="dxa" w:w="2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白金、玻璃、轴线、留白、可控日照。</w:t>
            </w:r>
          </w:p>
        </w:tc>
      </w:tr>
      <w:tr>
        <w:trPr>
          <w:cantSplit/>
        </w:trPr>
        <w:tc>
          <w:tcPr>
            <w:tcW w:type="dxa" w:w="1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专业执行区</w:t>
            </w:r>
          </w:p>
        </w:tc>
        <w:tc>
          <w:tcPr>
            <w:tcW w:type="dxa" w:w="24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公司办公、数据处理、实验协作、行政执行。</w:t>
            </w:r>
          </w:p>
        </w:tc>
        <w:tc>
          <w:tcPr>
            <w:tcW w:type="dxa" w:w="2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科研人员、公司职员、技术承包人、监管人员。</w:t>
            </w:r>
          </w:p>
        </w:tc>
        <w:tc>
          <w:tcPr>
            <w:tcW w:type="dxa" w:w="2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模块化、工位阵列、接口、冷光、效率。</w:t>
            </w:r>
          </w:p>
        </w:tc>
      </w:tr>
      <w:tr>
        <w:trPr>
          <w:cantSplit/>
        </w:trPr>
        <w:tc>
          <w:tcPr>
            <w:tcW w:type="dxa" w:w="1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中层生活区</w:t>
            </w:r>
          </w:p>
        </w:tc>
        <w:tc>
          <w:tcPr>
            <w:tcW w:type="dxa" w:w="24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标准化居住、商业、教育、交通换乘。</w:t>
            </w:r>
          </w:p>
        </w:tc>
        <w:tc>
          <w:tcPr>
            <w:tcW w:type="dxa" w:w="2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普通职员、家庭、服务行业、有限资格外来者。</w:t>
            </w:r>
          </w:p>
        </w:tc>
        <w:tc>
          <w:tcPr>
            <w:tcW w:type="dxa" w:w="2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规整、拥挤但维护良好、品牌化设施。</w:t>
            </w:r>
          </w:p>
        </w:tc>
      </w:tr>
      <w:tr>
        <w:trPr>
          <w:cantSplit/>
        </w:trPr>
        <w:tc>
          <w:tcPr>
            <w:tcW w:type="dxa" w:w="1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基座承载区 / 背光区</w:t>
            </w:r>
          </w:p>
        </w:tc>
        <w:tc>
          <w:tcPr>
            <w:tcW w:type="dxa" w:w="24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承重、供能、管网、维修、回收、高风险劳动。</w:t>
            </w:r>
          </w:p>
        </w:tc>
        <w:tc>
          <w:tcPr>
            <w:tcW w:type="dxa" w:w="2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公司合同工、义体债务人、身份失效者、拾荒者、地下医生。</w:t>
            </w:r>
          </w:p>
        </w:tc>
        <w:tc>
          <w:tcPr>
            <w:tcW w:type="dxa" w:w="2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重梁、潮湿、粉尘、补丁、低顶、漏光。</w:t>
            </w:r>
          </w:p>
        </w:tc>
      </w:tr>
      <w:tr>
        <w:trPr>
          <w:cantSplit/>
        </w:trPr>
        <w:tc>
          <w:tcPr>
            <w:tcW w:type="dxa" w:w="1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无昼层</w:t>
            </w:r>
          </w:p>
        </w:tc>
        <w:tc>
          <w:tcPr>
            <w:tcW w:type="dxa" w:w="24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最深承载与失序空间；公共服务极弱。</w:t>
            </w:r>
          </w:p>
        </w:tc>
        <w:tc>
          <w:tcPr>
            <w:tcW w:type="dxa" w:w="2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最底层居民、无证者、反抗力量与灰色服务。</w:t>
            </w:r>
          </w:p>
        </w:tc>
        <w:tc>
          <w:tcPr>
            <w:tcW w:type="dxa" w:w="2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长期无日照、旧灯、临时电缆、封闭压迫。</w:t>
            </w:r>
          </w:p>
        </w:tc>
      </w:tr>
      <w:tr>
        <w:trPr>
          <w:cantSplit/>
        </w:trPr>
        <w:tc>
          <w:tcPr>
            <w:tcW w:type="dxa" w:w="1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地下实验层</w:t>
            </w:r>
          </w:p>
        </w:tc>
        <w:tc>
          <w:tcPr>
            <w:tcW w:type="dxa" w:w="24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军事科研与复制神兽培养。</w:t>
            </w:r>
          </w:p>
        </w:tc>
        <w:tc>
          <w:tcPr>
            <w:tcW w:type="dxa" w:w="2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授权科研、安保、实验辅助机器人与实验体。</w:t>
            </w:r>
          </w:p>
        </w:tc>
        <w:tc>
          <w:tcPr>
            <w:tcW w:type="dxa" w:w="2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冷白、深黑、红色警示、防爆玻璃、巨物尺度。</w:t>
            </w:r>
          </w:p>
        </w:tc>
      </w:tr>
    </w:tbl>
    <w:p>
      <w:pPr>
        <w:spacing w:before="80" w:after="200"/>
        <w:ind w:left="160"/>
        <w:jc w:val="left"/>
        <w:pageBreakBefore/>
        <w:shd w:fill="315F78"/>
      </w:pPr>
      <w:r>
        <w:rPr>
          <w:rFonts w:ascii="Noto Sans CJK SC" w:hAnsi="Noto Sans CJK SC" w:eastAsia="Noto Sans CJK SC"/>
          <w:b/>
          <w:color w:val="FFFFFF"/>
          <w:sz w:val="32"/>
        </w:rPr>
        <w:t>高墙里  /  谁拥有天空，谁承担重量</w:t>
      </w:r>
    </w:p>
    <w:p>
      <w:pPr>
        <w:pStyle w:val="Heading1"/>
      </w:pPr>
      <w:r>
        <w:t>2.1 阶层、资产与居民构成</w:t>
      </w:r>
    </w:p>
    <w:p>
      <w:pPr>
        <w:keepNext/>
        <w:spacing w:before="0" w:after="0"/>
        <w:jc w:val="center"/>
      </w:pPr>
      <w:r>
        <w:drawing>
          <wp:inline xmlns:a="http://schemas.openxmlformats.org/drawingml/2006/main" xmlns:pic="http://schemas.openxmlformats.org/drawingml/2006/picture">
            <wp:extent cx="5897880" cy="2528543"/>
            <wp:docPr id="41" name="Picture 41" descr="Image: image50.jpg"/>
            <wp:cNvGraphicFramePr>
              <a:graphicFrameLocks noChangeAspect="1"/>
            </wp:cNvGraphicFramePr>
            <a:graphic>
              <a:graphicData uri="http://schemas.openxmlformats.org/drawingml/2006/picture">
                <pic:pic>
                  <pic:nvPicPr>
                    <pic:cNvPr id="0" name="高墙上层主轴桥.jpg"/>
                    <pic:cNvPicPr/>
                  </pic:nvPicPr>
                  <pic:blipFill>
                    <a:blip r:embed="rId60"/>
                    <a:stretch>
                      <a:fillRect/>
                    </a:stretch>
                  </pic:blipFill>
                  <pic:spPr>
                    <a:xfrm>
                      <a:off x="0" y="0"/>
                      <a:ext cx="5897880" cy="2528543"/>
                    </a:xfrm>
                    <a:prstGeom prst="rect"/>
                  </pic:spPr>
                </pic:pic>
              </a:graphicData>
            </a:graphic>
          </wp:inline>
        </w:drawing>
      </w:r>
    </w:p>
    <w:p>
      <w:pPr>
        <w:pStyle w:val="Smallnote"/>
        <w:keepNext w:val="0"/>
        <w:keepLines/>
        <w:spacing w:after="140"/>
        <w:jc w:val="center"/>
      </w:pPr>
      <w:r>
        <w:t>高墙里上层主轴桥：完整天空、洁净白色复材、宽阔留白、高架交通与稀疏人流共同表现上层对空间和日照的占有。</w:t>
      </w:r>
    </w:p>
    <w:p>
      <w:pPr>
        <w:keepNext/>
        <w:spacing w:before="0" w:after="0"/>
        <w:jc w:val="center"/>
      </w:pPr>
      <w:r>
        <w:drawing>
          <wp:inline xmlns:a="http://schemas.openxmlformats.org/drawingml/2006/main" xmlns:pic="http://schemas.openxmlformats.org/drawingml/2006/picture">
            <wp:extent cx="5897880" cy="2528543"/>
            <wp:docPr id="42" name="Picture 42" descr="Image: image51.jpg"/>
            <wp:cNvGraphicFramePr>
              <a:graphicFrameLocks noChangeAspect="1"/>
            </wp:cNvGraphicFramePr>
            <a:graphic>
              <a:graphicData uri="http://schemas.openxmlformats.org/drawingml/2006/picture">
                <pic:pic>
                  <pic:nvPicPr>
                    <pic:cNvPr id="0" name="高墙里-底层街谷.jpg"/>
                    <pic:cNvPicPr/>
                  </pic:nvPicPr>
                  <pic:blipFill>
                    <a:blip r:embed="rId61"/>
                    <a:stretch>
                      <a:fillRect/>
                    </a:stretch>
                  </pic:blipFill>
                  <pic:spPr>
                    <a:xfrm>
                      <a:off x="0" y="0"/>
                      <a:ext cx="5897880" cy="2528543"/>
                    </a:xfrm>
                    <a:prstGeom prst="rect"/>
                  </pic:spPr>
                </pic:pic>
              </a:graphicData>
            </a:graphic>
          </wp:inline>
        </w:drawing>
      </w:r>
    </w:p>
    <w:p>
      <w:pPr>
        <w:pStyle w:val="Smallnote"/>
        <w:keepLines/>
        <w:jc w:val="center"/>
      </w:pPr>
      <w:r>
        <w:t>高墙里基座承载区街谷：上层巨构压缩天空，住宅、管线、市场与服务设施填入维护缝隙；潮湿路面和密集人流表现长期背光的底层生活。</w:t>
      </w:r>
    </w:p>
    <w:tbl>
      <w:tblPr>
        <w:tblStyle w:val="TableGrid"/>
        <w:tblW w:type="dxa" w:w="9360"/>
        <w:jc w:val="center"/>
        <w:tblLayout w:type="fixed"/>
        <w:tblLook w:firstColumn="1" w:firstRow="1" w:lastColumn="0" w:lastRow="0" w:noHBand="0" w:noVBand="1" w:val="04A0"/>
        <w:tblInd w:w="120" w:type="dxa"/>
      </w:tblPr>
      <w:tblGrid>
        <w:gridCol w:w="1900"/>
        <w:gridCol w:w="2500"/>
        <w:gridCol w:w="2500"/>
        <w:gridCol w:w="2460"/>
      </w:tblGrid>
      <w:tr>
        <w:trPr>
          <w:tblHeader w:val="true"/>
          <w:cantSplit/>
        </w:trPr>
        <w:tc>
          <w:tcPr>
            <w:tcW w:type="dxa" w:w="19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社会位置</w:t>
            </w:r>
          </w:p>
        </w:tc>
        <w:tc>
          <w:tcPr>
            <w:tcW w:type="dxa" w:w="25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掌握的资产</w:t>
            </w:r>
          </w:p>
        </w:tc>
        <w:tc>
          <w:tcPr>
            <w:tcW w:type="dxa" w:w="25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身体与服装</w:t>
            </w:r>
          </w:p>
        </w:tc>
        <w:tc>
          <w:tcPr>
            <w:tcW w:type="dxa" w:w="246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空间权限</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资产与统治上层</w:t>
            </w:r>
          </w:p>
        </w:tc>
        <w:tc>
          <w:tcPr>
            <w:tcW w:type="dxa" w:w="25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公司股权、资源配额、医疗与科研权限、私人安保。</w:t>
            </w:r>
          </w:p>
        </w:tc>
        <w:tc>
          <w:tcPr>
            <w:tcW w:type="dxa" w:w="25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高完成度义体、定制面料、洁净轮廓、低磨损。</w:t>
            </w:r>
          </w:p>
        </w:tc>
        <w:tc>
          <w:tcPr>
            <w:tcW w:type="dxa" w:w="24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天空、日照、宽阔公共空间、封闭交通与高等级医疗。</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技术管理层</w:t>
            </w:r>
          </w:p>
        </w:tc>
        <w:tc>
          <w:tcPr>
            <w:tcW w:type="dxa" w:w="25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项目权限、数据访问、实验与人事处置权。</w:t>
            </w:r>
          </w:p>
        </w:tc>
        <w:tc>
          <w:tcPr>
            <w:tcW w:type="dxa" w:w="25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专业白/黑制服、身份牌、功能型高级义体。</w:t>
            </w:r>
          </w:p>
        </w:tc>
        <w:tc>
          <w:tcPr>
            <w:tcW w:type="dxa" w:w="24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科研层、执行区、受控上层空间。</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专业执行层</w:t>
            </w:r>
          </w:p>
        </w:tc>
        <w:tc>
          <w:tcPr>
            <w:tcW w:type="dxa" w:w="25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稳定合同、有限医疗与住房资格。</w:t>
            </w:r>
          </w:p>
        </w:tc>
        <w:tc>
          <w:tcPr>
            <w:tcW w:type="dxa" w:w="25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标准制服、接口化办公设备、轻度义体。</w:t>
            </w:r>
          </w:p>
        </w:tc>
        <w:tc>
          <w:tcPr>
            <w:tcW w:type="dxa" w:w="24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办公、教育、商业与标准住宅。</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服务与承包层</w:t>
            </w:r>
          </w:p>
        </w:tc>
        <w:tc>
          <w:tcPr>
            <w:tcW w:type="dxa" w:w="25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劳动技能、短期合同、工具与交通许可。</w:t>
            </w:r>
          </w:p>
        </w:tc>
        <w:tc>
          <w:tcPr>
            <w:tcW w:type="dxa" w:w="25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耐磨工装、租赁义体、公司标识与维修痕迹。</w:t>
            </w:r>
          </w:p>
        </w:tc>
        <w:tc>
          <w:tcPr>
            <w:tcW w:type="dxa" w:w="24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专业区边缘、中层后勤、基座设施。</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基座劳动者</w:t>
            </w:r>
          </w:p>
        </w:tc>
        <w:tc>
          <w:tcPr>
            <w:tcW w:type="dxa" w:w="25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主要依靠身体、工具和非正式互助。</w:t>
            </w:r>
          </w:p>
        </w:tc>
        <w:tc>
          <w:tcPr>
            <w:tcW w:type="dxa" w:w="25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拼接防护、旧义体、呼吸/过滤装备、明显劳损。</w:t>
            </w:r>
          </w:p>
        </w:tc>
        <w:tc>
          <w:tcPr>
            <w:tcW w:type="dxa" w:w="24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背光区、承载区、维修道和有限上行通道。</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身份失效者与无证者</w:t>
            </w:r>
          </w:p>
        </w:tc>
        <w:tc>
          <w:tcPr>
            <w:tcW w:type="dxa" w:w="25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几乎没有合法资产；依赖拾荒、黑市与地下服务。</w:t>
            </w:r>
          </w:p>
        </w:tc>
        <w:tc>
          <w:tcPr>
            <w:tcW w:type="dxa" w:w="25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遮挡身份、临时固定、非标准改装。</w:t>
            </w:r>
          </w:p>
        </w:tc>
        <w:tc>
          <w:tcPr>
            <w:tcW w:type="dxa" w:w="24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无昼层、废弃管道、临时聚落。</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兽人访客/劳动者</w:t>
            </w:r>
          </w:p>
        </w:tc>
        <w:tc>
          <w:tcPr>
            <w:tcW w:type="dxa" w:w="25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依据具体身份获得有限资格；不被人类社会真正欢迎。</w:t>
            </w:r>
          </w:p>
        </w:tc>
        <w:tc>
          <w:tcPr>
            <w:tcW w:type="dxa" w:w="25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在原生体征外叠加通行标识或监测装置。</w:t>
            </w:r>
          </w:p>
        </w:tc>
        <w:tc>
          <w:tcPr>
            <w:tcW w:type="dxa" w:w="24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多集中在服务区、底层与受控通道；普遍被监视。</w:t>
            </w:r>
          </w:p>
        </w:tc>
      </w:tr>
    </w:tbl>
    <w:p>
      <w:pPr>
        <w:spacing w:after="40"/>
      </w:pPr>
    </w:p>
    <w:tbl>
      <w:tblPr>
        <w:tblW w:type="dxa" w:w="9360"/>
        <w:jc w:val="center"/>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DCEAF0"/>
          </w:tcPr>
          <w:p>
            <w:pPr>
              <w:spacing w:after="0"/>
            </w:pPr>
            <w:r>
              <w:rPr>
                <w:rFonts w:ascii="Noto Sans CJK SC" w:hAnsi="Noto Sans CJK SC" w:eastAsia="Noto Sans CJK SC"/>
                <w:b/>
                <w:color w:val="244C66"/>
                <w:sz w:val="21"/>
              </w:rPr>
              <w:t xml:space="preserve">[已确认] 监视原则  </w:t>
            </w:r>
            <w:r>
              <w:rPr>
                <w:rFonts w:ascii="Noto Sans CJK SC" w:hAnsi="Noto Sans CJK SC" w:eastAsia="Noto Sans CJK SC"/>
                <w:b w:val="0"/>
                <w:color w:val="17212B"/>
                <w:sz w:val="21"/>
              </w:rPr>
              <w:t>高墙里几乎所有人都可能被监视。底层、外来者和兽人是默认监控对象；上层拥有更多规避手段，但仍可能在权力斗争中被监视。社会关系遵循丛林法则，为了目的，任何人和事都可能成为跳板。</w:t>
            </w:r>
          </w:p>
        </w:tc>
        <w:trPr>
          <w:tblHeader/>
        </w:trPr>
      </w:tr>
    </w:tbl>
    <w:p>
      <w:pPr>
        <w:spacing w:before="80" w:after="200"/>
        <w:ind w:left="160"/>
        <w:jc w:val="left"/>
        <w:pageBreakBefore/>
        <w:shd w:fill="315F78"/>
      </w:pPr>
      <w:r>
        <w:rPr>
          <w:rFonts w:ascii="Noto Sans CJK SC" w:hAnsi="Noto Sans CJK SC" w:eastAsia="Noto Sans CJK SC"/>
          <w:b/>
          <w:color w:val="FFFFFF"/>
          <w:sz w:val="32"/>
        </w:rPr>
        <w:t>高墙里  /  垂直交通 / 权限城市</w:t>
      </w:r>
    </w:p>
    <w:p>
      <w:pPr>
        <w:pStyle w:val="Heading1"/>
      </w:pPr>
      <w:r>
        <w:t>2.2 城市规划：通行、门槛与空间压迫</w:t>
      </w:r>
    </w:p>
    <w:p>
      <w:pPr>
        <w:keepNext/>
        <w:spacing w:before="0" w:after="0"/>
        <w:jc w:val="center"/>
      </w:pPr>
      <w:r>
        <w:drawing>
          <wp:inline xmlns:a="http://schemas.openxmlformats.org/drawingml/2006/main" xmlns:pic="http://schemas.openxmlformats.org/drawingml/2006/picture">
            <wp:extent cx="5897880" cy="2528543"/>
            <wp:docPr id="43" name="Picture 43" descr="Image: image52.jpg"/>
            <wp:cNvGraphicFramePr>
              <a:graphicFrameLocks noChangeAspect="1"/>
            </wp:cNvGraphicFramePr>
            <a:graphic>
              <a:graphicData uri="http://schemas.openxmlformats.org/drawingml/2006/picture">
                <pic:pic>
                  <pic:nvPicPr>
                    <pic:cNvPr id="0" name="高墙里-上下层交通脊柱.jpg"/>
                    <pic:cNvPicPr/>
                  </pic:nvPicPr>
                  <pic:blipFill>
                    <a:blip r:embed="rId62"/>
                    <a:stretch>
                      <a:fillRect/>
                    </a:stretch>
                  </pic:blipFill>
                  <pic:spPr>
                    <a:xfrm>
                      <a:off x="0" y="0"/>
                      <a:ext cx="5897880" cy="2528543"/>
                    </a:xfrm>
                    <a:prstGeom prst="rect"/>
                  </pic:spPr>
                </pic:pic>
              </a:graphicData>
            </a:graphic>
          </wp:inline>
        </w:drawing>
      </w:r>
    </w:p>
    <w:p>
      <w:pPr>
        <w:pStyle w:val="Smallnote"/>
        <w:keepLines/>
        <w:jc w:val="center"/>
      </w:pPr>
      <w:r>
        <w:t>高墙里上下层交通脊柱：明亮上层、权限闸机、垂直电梯、货运笼与背光市场叠置在同一剖面中，交通系统本身就是阶层筛选器。</w:t>
      </w:r>
    </w:p>
    <w:p>
      <w:pPr>
        <w:pStyle w:val="ListBullet"/>
      </w:pPr>
      <w:r>
        <w:rPr>
          <w:rFonts w:ascii="Noto Sans CJK SC" w:hAnsi="Noto Sans CJK SC" w:eastAsia="Noto Sans CJK SC"/>
        </w:rPr>
        <w:t>上行越昂贵：越接近天空，通道越宽、材质越完整、安保越隐形；越向下，路径越狭窄、机械越外露、检查越直接。</w:t>
      </w:r>
    </w:p>
    <w:p>
      <w:pPr>
        <w:pStyle w:val="ListBullet"/>
      </w:pPr>
      <w:r>
        <w:rPr>
          <w:rFonts w:ascii="Noto Sans CJK SC" w:hAnsi="Noto Sans CJK SC" w:eastAsia="Noto Sans CJK SC"/>
        </w:rPr>
        <w:t>电梯不是中性设施：厢体尺寸、停靠层、识别方式和等候区都应体现权限差异。</w:t>
      </w:r>
    </w:p>
    <w:p>
      <w:pPr>
        <w:pStyle w:val="ListBullet"/>
      </w:pPr>
      <w:r>
        <w:rPr>
          <w:rFonts w:ascii="Noto Sans CJK SC" w:hAnsi="Noto Sans CJK SC" w:eastAsia="Noto Sans CJK SC"/>
        </w:rPr>
        <w:t>背光区的街道本质上是巨构之间留下的维护缝隙；楼梯、吊桥、管廊和检修梯共同构成居民交通。</w:t>
      </w:r>
    </w:p>
    <w:p>
      <w:pPr>
        <w:pStyle w:val="ListBullet"/>
      </w:pPr>
      <w:r>
        <w:rPr>
          <w:rFonts w:ascii="Noto Sans CJK SC" w:hAnsi="Noto Sans CJK SC" w:eastAsia="Noto Sans CJK SC"/>
        </w:rPr>
        <w:t>基座空间应显露承重结构，柱、梁、减震器、热交换管与维修平台必须让观众感到上层城市的重量压在这里。</w:t>
      </w:r>
    </w:p>
    <w:p>
      <w:pPr>
        <w:pStyle w:val="ListBullet"/>
      </w:pPr>
      <w:r>
        <w:rPr>
          <w:rFonts w:ascii="Noto Sans CJK SC" w:hAnsi="Noto Sans CJK SC" w:eastAsia="Noto Sans CJK SC"/>
        </w:rPr>
        <w:t>兽人体型差异会制造通行冲突：门洞、扶梯、座椅和安检设备优先服务人类标准，形成非文字化排斥。</w:t>
      </w:r>
    </w:p>
    <w:p>
      <w:pPr>
        <w:pStyle w:val="ListBullet"/>
      </w:pPr>
      <w:r>
        <w:rPr>
          <w:rFonts w:ascii="Noto Sans CJK SC" w:hAnsi="Noto Sans CJK SC" w:eastAsia="Noto Sans CJK SC"/>
        </w:rPr>
        <w:t>监控可分为显性摄像、门禁扫描、义体协议、工作效率记录与资源消费记录，视觉上应避免全部画成同一种摄像头。</w:t>
      </w:r>
    </w:p>
    <w:p>
      <w:pPr>
        <w:keepNext/>
        <w:spacing w:before="0" w:after="0"/>
        <w:jc w:val="center"/>
      </w:pPr>
      <w:r>
        <w:drawing>
          <wp:inline xmlns:a="http://schemas.openxmlformats.org/drawingml/2006/main" xmlns:pic="http://schemas.openxmlformats.org/drawingml/2006/picture">
            <wp:extent cx="5897880" cy="2528543"/>
            <wp:docPr id="44" name="Picture 44" descr="Image: image53.jpg"/>
            <wp:cNvGraphicFramePr>
              <a:graphicFrameLocks noChangeAspect="1"/>
            </wp:cNvGraphicFramePr>
            <a:graphic>
              <a:graphicData uri="http://schemas.openxmlformats.org/drawingml/2006/picture">
                <pic:pic>
                  <pic:nvPicPr>
                    <pic:cNvPr id="0" name="高墙里-裂口侧主门.jpg"/>
                    <pic:cNvPicPr/>
                  </pic:nvPicPr>
                  <pic:blipFill>
                    <a:blip r:embed="rId63"/>
                    <a:stretch>
                      <a:fillRect/>
                    </a:stretch>
                  </pic:blipFill>
                  <pic:spPr>
                    <a:xfrm>
                      <a:off x="0" y="0"/>
                      <a:ext cx="5897880" cy="2528543"/>
                    </a:xfrm>
                    <a:prstGeom prst="rect"/>
                  </pic:spPr>
                </pic:pic>
              </a:graphicData>
            </a:graphic>
          </wp:inline>
        </w:drawing>
      </w:r>
    </w:p>
    <w:p>
      <w:pPr>
        <w:pStyle w:val="Smallnote"/>
        <w:keepLines/>
        <w:jc w:val="center"/>
      </w:pPr>
      <w:r>
        <w:t>高墙里裂口侧主门：墙门、货运通道、检查队列、排水结构与外部道路组成跨区界面；入口尺度强调开放通行背后的严密筛查。</w:t>
      </w:r>
    </w:p>
    <w:tbl>
      <w:tblPr>
        <w:tblStyle w:val="TableGrid"/>
        <w:tblW w:type="dxa" w:w="9360"/>
        <w:jc w:val="center"/>
        <w:tblLayout w:type="fixed"/>
        <w:tblLook w:firstColumn="1" w:firstRow="1" w:lastColumn="0" w:lastRow="0" w:noHBand="0" w:noVBand="1" w:val="04A0"/>
        <w:tblInd w:w="120" w:type="dxa"/>
      </w:tblPr>
      <w:tblGrid>
        <w:gridCol w:w="1950"/>
        <w:gridCol w:w="3700"/>
        <w:gridCol w:w="3710"/>
      </w:tblGrid>
      <w:tr>
        <w:trPr>
          <w:tblHeader w:val="true"/>
          <w:cantSplit/>
        </w:trPr>
        <w:tc>
          <w:tcPr>
            <w:tcW w:type="dxa" w:w="195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空间节点</w:t>
            </w:r>
          </w:p>
        </w:tc>
        <w:tc>
          <w:tcPr>
            <w:tcW w:type="dxa" w:w="37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上层表现</w:t>
            </w:r>
          </w:p>
        </w:tc>
        <w:tc>
          <w:tcPr>
            <w:tcW w:type="dxa" w:w="371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底层表现</w:t>
            </w:r>
          </w:p>
        </w:tc>
      </w:tr>
      <w:tr>
        <w:trPr>
          <w:cantSplit/>
        </w:trPr>
        <w:tc>
          <w:tcPr>
            <w:tcW w:type="dxa" w:w="19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入口</w:t>
            </w:r>
          </w:p>
        </w:tc>
        <w:tc>
          <w:tcPr>
            <w:tcW w:type="dxa" w:w="37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无感识别、私人通道、安保藏于建筑。</w:t>
            </w:r>
          </w:p>
        </w:tc>
        <w:tc>
          <w:tcPr>
            <w:tcW w:type="dxa" w:w="37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排队、可见扫描、临检、身份摩擦。</w:t>
            </w:r>
          </w:p>
        </w:tc>
      </w:tr>
      <w:tr>
        <w:trPr>
          <w:cantSplit/>
        </w:trPr>
        <w:tc>
          <w:tcPr>
            <w:tcW w:type="dxa" w:w="19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居住</w:t>
            </w:r>
          </w:p>
        </w:tc>
        <w:tc>
          <w:tcPr>
            <w:tcW w:type="dxa" w:w="37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大开间、完整表皮、空气与光线可调。</w:t>
            </w:r>
          </w:p>
        </w:tc>
        <w:tc>
          <w:tcPr>
            <w:tcW w:type="dxa" w:w="37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小尺度拼接、借用结构、潮湿与管道噪声。</w:t>
            </w:r>
          </w:p>
        </w:tc>
      </w:tr>
      <w:tr>
        <w:trPr>
          <w:cantSplit/>
        </w:trPr>
        <w:tc>
          <w:tcPr>
            <w:tcW w:type="dxa" w:w="19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商业</w:t>
            </w:r>
          </w:p>
        </w:tc>
        <w:tc>
          <w:tcPr>
            <w:tcW w:type="dxa" w:w="37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定制身体、稀缺体验与身份展示。</w:t>
            </w:r>
          </w:p>
        </w:tc>
        <w:tc>
          <w:tcPr>
            <w:tcW w:type="dxa" w:w="37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维修、二手零件、配给物资、临时摊点。</w:t>
            </w:r>
          </w:p>
        </w:tc>
      </w:tr>
      <w:tr>
        <w:trPr>
          <w:cantSplit/>
        </w:trPr>
        <w:tc>
          <w:tcPr>
            <w:tcW w:type="dxa" w:w="19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公共空间</w:t>
            </w:r>
          </w:p>
        </w:tc>
        <w:tc>
          <w:tcPr>
            <w:tcW w:type="dxa" w:w="37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展示秩序、留白与可控自然。</w:t>
            </w:r>
          </w:p>
        </w:tc>
        <w:tc>
          <w:tcPr>
            <w:tcW w:type="dxa" w:w="37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承担通行、劳动、交易和生活的复合空间。</w:t>
            </w:r>
          </w:p>
        </w:tc>
      </w:tr>
      <w:tr>
        <w:trPr>
          <w:cantSplit/>
        </w:trPr>
        <w:tc>
          <w:tcPr>
            <w:tcW w:type="dxa" w:w="19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安全设施</w:t>
            </w:r>
          </w:p>
        </w:tc>
        <w:tc>
          <w:tcPr>
            <w:tcW w:type="dxa" w:w="37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安保像服务系统，干净且低可见。</w:t>
            </w:r>
          </w:p>
        </w:tc>
        <w:tc>
          <w:tcPr>
            <w:tcW w:type="dxa" w:w="37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闸门、隔离栏、警示灯和武装回收直接暴露。</w:t>
            </w:r>
          </w:p>
        </w:tc>
      </w:tr>
    </w:tbl>
    <w:p>
      <w:pPr>
        <w:spacing w:before="80" w:after="200"/>
        <w:ind w:left="160"/>
        <w:jc w:val="left"/>
        <w:pageBreakBefore/>
        <w:shd w:fill="315F78"/>
      </w:pPr>
      <w:r>
        <w:rPr>
          <w:rFonts w:ascii="Noto Sans CJK SC" w:hAnsi="Noto Sans CJK SC" w:eastAsia="Noto Sans CJK SC"/>
          <w:b/>
          <w:color w:val="FFFFFF"/>
          <w:sz w:val="32"/>
        </w:rPr>
        <w:t>高墙里  /  光也是资产</w:t>
      </w:r>
    </w:p>
    <w:p>
      <w:pPr>
        <w:pStyle w:val="Heading1"/>
      </w:pPr>
      <w:r>
        <w:t>2.3 光照、气候与“人工白昼”概念</w:t>
      </w:r>
    </w:p>
    <w:p>
      <w:pPr>
        <w:keepNext/>
        <w:spacing w:before="40" w:after="60"/>
        <w:jc w:val="center"/>
      </w:pPr>
      <w:r>
        <w:drawing>
          <wp:inline xmlns:a="http://schemas.openxmlformats.org/drawingml/2006/main" xmlns:pic="http://schemas.openxmlformats.org/drawingml/2006/picture">
            <wp:extent cx="5943600" cy="3343275"/>
            <wp:docPr id="5" name="Picture 5" descr="Image: image4.jpg"/>
            <wp:cNvGraphicFramePr>
              <a:graphicFrameLocks noChangeAspect="1"/>
            </wp:cNvGraphicFramePr>
            <a:graphic>
              <a:graphicData uri="http://schemas.openxmlformats.org/drawingml/2006/picture">
                <pic:pic>
                  <pic:nvPicPr>
                    <pic:cNvPr id="0" name="笼城人工白昼装置.png.jpg"/>
                    <pic:cNvPicPr/>
                  </pic:nvPicPr>
                  <pic:blipFill>
                    <a:blip r:embed="rId14"/>
                    <a:stretch>
                      <a:fillRect/>
                    </a:stretch>
                  </pic:blipFill>
                  <pic:spPr>
                    <a:xfrm>
                      <a:off x="0" y="0"/>
                      <a:ext cx="5943600" cy="3343275"/>
                    </a:xfrm>
                    <a:prstGeom prst="rect"/>
                  </pic:spPr>
                </pic:pic>
              </a:graphicData>
            </a:graphic>
          </wp:inline>
        </w:drawing>
      </w:r>
    </w:p>
    <w:p>
      <w:pPr>
        <w:pStyle w:val="Smallnote"/>
        <w:keepNext w:val="0"/>
        <w:spacing w:after="140"/>
        <w:jc w:val="center"/>
      </w:pPr>
      <w:r>
        <w:rPr>
          <w:rFonts w:ascii="Noto Sans CJK SC" w:hAnsi="Noto Sans CJK SC" w:eastAsia="Noto Sans CJK SC"/>
          <w:b w:val="0"/>
          <w:color w:val="66737E"/>
          <w:sz w:val="17"/>
        </w:rPr>
        <w:t>人工白昼装置概念资产：机械光源悬挂于高墙巨构内部，模拟自然太阳但暴露出工业结构。</w:t>
      </w:r>
    </w:p>
    <w:p>
      <w:pPr>
        <w:keepNext/>
        <w:spacing w:before="40" w:after="60"/>
        <w:jc w:val="center"/>
      </w:pPr>
      <w:r>
        <w:drawing>
          <wp:inline xmlns:a="http://schemas.openxmlformats.org/drawingml/2006/main" xmlns:pic="http://schemas.openxmlformats.org/drawingml/2006/picture">
            <wp:extent cx="5943600" cy="3343275"/>
            <wp:docPr id="6" name="Picture 6" descr="Image: image5.jpg"/>
            <wp:cNvGraphicFramePr>
              <a:graphicFrameLocks noChangeAspect="1"/>
            </wp:cNvGraphicFramePr>
            <a:graphic>
              <a:graphicData uri="http://schemas.openxmlformats.org/drawingml/2006/picture">
                <pic:pic>
                  <pic:nvPicPr>
                    <pic:cNvPr id="0" name="高墙里的机械拟日核心.png.jpg"/>
                    <pic:cNvPicPr/>
                  </pic:nvPicPr>
                  <pic:blipFill>
                    <a:blip r:embed="rId15"/>
                    <a:stretch>
                      <a:fillRect/>
                    </a:stretch>
                  </pic:blipFill>
                  <pic:spPr>
                    <a:xfrm>
                      <a:off x="0" y="0"/>
                      <a:ext cx="5943600" cy="3343275"/>
                    </a:xfrm>
                    <a:prstGeom prst="rect"/>
                  </pic:spPr>
                </pic:pic>
              </a:graphicData>
            </a:graphic>
          </wp:inline>
        </w:drawing>
      </w:r>
    </w:p>
    <w:p>
      <w:pPr>
        <w:pStyle w:val="Smallnote"/>
        <w:keepNext w:val="0"/>
        <w:spacing w:after="140"/>
        <w:jc w:val="center"/>
      </w:pPr>
      <w:r>
        <w:rPr>
          <w:rFonts w:ascii="Noto Sans CJK SC" w:hAnsi="Noto Sans CJK SC" w:eastAsia="Noto Sans CJK SC"/>
          <w:b w:val="0"/>
          <w:color w:val="66737E"/>
          <w:sz w:val="17"/>
        </w:rPr>
        <w:t>机械拟日核心概念资产：可作为高墙里大型光照系统的核心结构与检修尺度参考。</w:t>
      </w:r>
    </w:p>
    <w:tbl>
      <w:tblPr>
        <w:tblW w:type="dxa" w:w="9360"/>
        <w:jc w:val="center"/>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F3E9D3"/>
          </w:tcPr>
          <w:p>
            <w:pPr>
              <w:spacing w:after="0"/>
            </w:pPr>
            <w:r>
              <w:rPr>
                <w:rFonts w:ascii="Noto Sans CJK SC" w:hAnsi="Noto Sans CJK SC" w:eastAsia="Noto Sans CJK SC"/>
                <w:b/>
                <w:color w:val="244C66"/>
                <w:sz w:val="21"/>
              </w:rPr>
              <w:t xml:space="preserve">[概念提案] 人工白昼的城市作用  </w:t>
            </w:r>
            <w:r>
              <w:rPr>
                <w:rFonts w:ascii="Noto Sans CJK SC" w:hAnsi="Noto Sans CJK SC" w:eastAsia="Noto Sans CJK SC"/>
                <w:b w:val="0"/>
                <w:color w:val="17212B"/>
                <w:sz w:val="21"/>
              </w:rPr>
              <w:t>可将人工日照定义为被分配的公共资源：上层享受连续、柔和、接近自然的光；中层按作息获得标准光照；背光区只能从结构缝隙、检修窗口或短时开放的“日缝 / 晒场”获得光。装置是否已成为全城正式系统、由谁控制、是否收费，仍待确认。</w:t>
            </w:r>
          </w:p>
        </w:tc>
        <w:trPr>
          <w:tblHeader/>
        </w:trPr>
      </w:tr>
    </w:tbl>
    <w:p>
      <w:pPr>
        <w:spacing w:after="40"/>
      </w:pPr>
    </w:p>
    <w:p>
      <w:pPr>
        <w:pStyle w:val="ListBullet"/>
      </w:pPr>
      <w:r>
        <w:rPr>
          <w:rFonts w:ascii="Noto Sans CJK SC" w:hAnsi="Noto Sans CJK SC" w:eastAsia="Noto Sans CJK SC"/>
        </w:rPr>
        <w:t>高墙里空气可以正常呼吸，不应把底层简单画成全员戴氧气面罩。</w:t>
      </w:r>
    </w:p>
    <w:p>
      <w:pPr>
        <w:pStyle w:val="ListBullet"/>
      </w:pPr>
      <w:r>
        <w:rPr>
          <w:rFonts w:ascii="Noto Sans CJK SC" w:hAnsi="Noto Sans CJK SC" w:eastAsia="Noto Sans CJK SC"/>
        </w:rPr>
        <w:t>底层压力来自缺少日照、潮湿、粉尘、电力不稳、过度拥挤、服务缺失与非正式控制。</w:t>
      </w:r>
    </w:p>
    <w:p>
      <w:pPr>
        <w:pStyle w:val="ListBullet"/>
      </w:pPr>
      <w:r>
        <w:rPr>
          <w:rFonts w:ascii="Noto Sans CJK SC" w:hAnsi="Noto Sans CJK SC" w:eastAsia="Noto Sans CJK SC"/>
        </w:rPr>
        <w:t>日缝 / 晒场可表现为稀缺的暖色几何光块，与周围冷灰空间形成强烈社会隐喻。</w:t>
      </w:r>
    </w:p>
    <w:p>
      <w:pPr>
        <w:pStyle w:val="ListBullet"/>
      </w:pPr>
      <w:r>
        <w:rPr>
          <w:rFonts w:ascii="Noto Sans CJK SC" w:hAnsi="Noto Sans CJK SC" w:eastAsia="Noto Sans CJK SC"/>
        </w:rPr>
        <w:t>人工白昼设备表面要保持高墙里精密工程逻辑，检修区则可以暴露积尘、热损伤与维修编号。</w:t>
      </w:r>
    </w:p>
    <w:p>
      <w:pPr>
        <w:spacing w:before="80" w:after="200"/>
        <w:ind w:left="160"/>
        <w:jc w:val="left"/>
        <w:pageBreakBefore/>
        <w:shd w:fill="315F78"/>
      </w:pPr>
      <w:r>
        <w:rPr>
          <w:rFonts w:ascii="Noto Sans CJK SC" w:hAnsi="Noto Sans CJK SC" w:eastAsia="Noto Sans CJK SC"/>
          <w:b/>
          <w:color w:val="FFFFFF"/>
          <w:sz w:val="32"/>
        </w:rPr>
        <w:t>高墙里  /  日常生活概念资产</w:t>
      </w:r>
    </w:p>
    <w:p>
      <w:pPr>
        <w:pStyle w:val="Heading1"/>
      </w:pPr>
      <w:r>
        <w:t>2.4 工作、教育、消费与身体服务</w:t>
      </w:r>
    </w:p>
    <w:tbl>
      <w:tblPr>
        <w:tblStyle w:val="TableGrid"/>
        <w:tblW w:type="dxa" w:w="9360"/>
        <w:jc w:val="center"/>
        <w:tblLayout w:type="fixed"/>
        <w:tblLook w:firstColumn="1" w:firstRow="1" w:lastColumn="0" w:lastRow="0" w:noHBand="0" w:noVBand="1" w:val="04A0"/>
        <w:tblInd w:w="120" w:type="dxa"/>
      </w:tblPr>
      <w:tblGrid>
        <w:gridCol w:w="1400"/>
        <w:gridCol w:w="2600"/>
        <w:gridCol w:w="2600"/>
        <w:gridCol w:w="2760"/>
      </w:tblGrid>
      <w:tr>
        <w:trPr>
          <w:tblHeader w:val="true"/>
          <w:cantSplit/>
        </w:trPr>
        <w:tc>
          <w:tcPr>
            <w:tcW w:type="dxa" w:w="14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系统</w:t>
            </w:r>
          </w:p>
        </w:tc>
        <w:tc>
          <w:tcPr>
            <w:tcW w:type="dxa" w:w="26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上层 / 专业层</w:t>
            </w:r>
          </w:p>
        </w:tc>
        <w:tc>
          <w:tcPr>
            <w:tcW w:type="dxa" w:w="26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底层 / 背光区</w:t>
            </w:r>
          </w:p>
        </w:tc>
        <w:tc>
          <w:tcPr>
            <w:tcW w:type="dxa" w:w="276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关键画面</w:t>
            </w:r>
          </w:p>
        </w:tc>
      </w:tr>
      <w:tr>
        <w:trPr>
          <w:cantSplit/>
        </w:trPr>
        <w:tc>
          <w:tcPr>
            <w:tcW w:type="dxa" w:w="14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工作</w:t>
            </w:r>
          </w:p>
        </w:tc>
        <w:tc>
          <w:tcPr>
            <w:tcW w:type="dxa" w:w="26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高度接口化，身体与办公系统直接连接。</w:t>
            </w:r>
          </w:p>
        </w:tc>
        <w:tc>
          <w:tcPr>
            <w:tcW w:type="dxa" w:w="26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高风险体力劳动、维修、回收与临时承包。</w:t>
            </w:r>
          </w:p>
        </w:tc>
        <w:tc>
          <w:tcPr>
            <w:tcW w:type="dxa" w:w="27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职员睡着后外骨骼仍带动手臂工作；天花板充电线插入后脑。</w:t>
            </w:r>
          </w:p>
        </w:tc>
      </w:tr>
      <w:tr>
        <w:trPr>
          <w:cantSplit/>
        </w:trPr>
        <w:tc>
          <w:tcPr>
            <w:tcW w:type="dxa" w:w="14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教育</w:t>
            </w:r>
          </w:p>
        </w:tc>
        <w:tc>
          <w:tcPr>
            <w:tcW w:type="dxa" w:w="26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躺卧式学习，佩戴眼镜，由人格化AI界面直接授课，无实体教师。</w:t>
            </w:r>
          </w:p>
        </w:tc>
        <w:tc>
          <w:tcPr>
            <w:tcW w:type="dxa" w:w="26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真实书本、教师讲授；AI可辅助，但教师是核心。</w:t>
            </w:r>
          </w:p>
        </w:tc>
        <w:tc>
          <w:tcPr>
            <w:tcW w:type="dxa" w:w="27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洁净无教师课堂，对照拥挤却有人际交流的底层教室。</w:t>
            </w:r>
          </w:p>
        </w:tc>
      </w:tr>
      <w:tr>
        <w:trPr>
          <w:cantSplit/>
        </w:trPr>
        <w:tc>
          <w:tcPr>
            <w:tcW w:type="dxa" w:w="14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消费</w:t>
            </w:r>
          </w:p>
        </w:tc>
        <w:tc>
          <w:tcPr>
            <w:tcW w:type="dxa" w:w="26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购买身体功能、定制外观与稀缺体验。</w:t>
            </w:r>
          </w:p>
        </w:tc>
        <w:tc>
          <w:tcPr>
            <w:tcW w:type="dxa" w:w="26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以维修、替换、租赁和二手改装为主。</w:t>
            </w:r>
          </w:p>
        </w:tc>
        <w:tc>
          <w:tcPr>
            <w:tcW w:type="dxa" w:w="27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上层女性在自动售货机前像挑耳环一样挑选模块化眼球。</w:t>
            </w:r>
          </w:p>
        </w:tc>
      </w:tr>
      <w:tr>
        <w:trPr>
          <w:cantSplit/>
        </w:trPr>
        <w:tc>
          <w:tcPr>
            <w:tcW w:type="dxa" w:w="14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宠物 / 地位象征</w:t>
            </w:r>
          </w:p>
        </w:tc>
        <w:tc>
          <w:tcPr>
            <w:tcW w:type="dxa" w:w="26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可定制掌心大小的复制神兽作为奢侈品。</w:t>
            </w:r>
          </w:p>
        </w:tc>
        <w:tc>
          <w:tcPr>
            <w:tcW w:type="dxa" w:w="26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缺乏资源时更依赖实用型机器人与互助。</w:t>
            </w:r>
          </w:p>
        </w:tc>
        <w:tc>
          <w:tcPr>
            <w:tcW w:type="dxa" w:w="27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小型复制神兽把富人拽倒，清洁机器人无视倒地者清理不存在的污渍。</w:t>
            </w:r>
          </w:p>
        </w:tc>
      </w:tr>
      <w:tr>
        <w:trPr>
          <w:cantSplit/>
        </w:trPr>
        <w:tc>
          <w:tcPr>
            <w:tcW w:type="dxa" w:w="14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医疗</w:t>
            </w:r>
          </w:p>
        </w:tc>
        <w:tc>
          <w:tcPr>
            <w:tcW w:type="dxa" w:w="26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完整、无痕、可升级，医疗也是身份维护。</w:t>
            </w:r>
          </w:p>
        </w:tc>
        <w:tc>
          <w:tcPr>
            <w:tcW w:type="dxa" w:w="26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地下医生、拼接修复、药物与证件风险并存。</w:t>
            </w:r>
          </w:p>
        </w:tc>
        <w:tc>
          <w:tcPr>
            <w:tcW w:type="dxa" w:w="27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洁净医疗舱与背光诊所形成材质对照。</w:t>
            </w:r>
          </w:p>
        </w:tc>
      </w:tr>
    </w:tbl>
    <w:p>
      <w:pPr>
        <w:spacing w:after="40"/>
      </w:pPr>
    </w:p>
    <w:tbl>
      <w:tblPr>
        <w:tblW w:type="dxa" w:w="9360"/>
        <w:jc w:val="center"/>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F3E9D3"/>
          </w:tcPr>
          <w:p>
            <w:pPr>
              <w:spacing w:after="0"/>
            </w:pPr>
            <w:r>
              <w:rPr>
                <w:rFonts w:ascii="Noto Sans CJK SC" w:hAnsi="Noto Sans CJK SC" w:eastAsia="Noto Sans CJK SC"/>
                <w:b/>
                <w:color w:val="244C66"/>
                <w:sz w:val="21"/>
              </w:rPr>
              <w:t xml:space="preserve">[概念提案] 生活资产开发顺序  </w:t>
            </w:r>
            <w:r>
              <w:rPr>
                <w:rFonts w:ascii="Noto Sans CJK SC" w:hAnsi="Noto Sans CJK SC" w:eastAsia="Noto Sans CJK SC"/>
                <w:b w:val="0"/>
                <w:color w:val="17212B"/>
                <w:sz w:val="21"/>
              </w:rPr>
              <w:t>优先制作“模块化眼球售货机、外骨骼代班工位、后脑充电线办公室、上下层教育对照、失控复制宠物”五组单幅设定图。它们能在不讲故事的情况下直接展示高墙里的阶层、身体商品化与冷漠服务逻辑。</w:t>
            </w:r>
          </w:p>
        </w:tc>
        <w:trPr>
          <w:tblHeader/>
        </w:trPr>
      </w:tr>
    </w:tbl>
    <w:p>
      <w:pPr>
        <w:spacing w:before="80" w:after="200"/>
        <w:ind w:left="160"/>
        <w:jc w:val="left"/>
        <w:pageBreakBefore/>
        <w:shd w:fill="315F78"/>
      </w:pPr>
      <w:r>
        <w:rPr>
          <w:rFonts w:ascii="Noto Sans CJK SC" w:hAnsi="Noto Sans CJK SC" w:eastAsia="Noto Sans CJK SC"/>
          <w:b/>
          <w:color w:val="FFFFFF"/>
          <w:sz w:val="32"/>
        </w:rPr>
        <w:t>高墙里  /  巨物、接口与防爆科研</w:t>
      </w:r>
    </w:p>
    <w:p>
      <w:pPr>
        <w:pStyle w:val="Heading1"/>
      </w:pPr>
      <w:r>
        <w:t>2.5 复制神兽实验系统</w:t>
      </w:r>
    </w:p>
    <w:p>
      <w:pPr>
        <w:keepNext/>
        <w:spacing w:before="0" w:after="0"/>
        <w:jc w:val="center"/>
      </w:pPr>
      <w:r>
        <w:drawing>
          <wp:inline xmlns:a="http://schemas.openxmlformats.org/drawingml/2006/main" xmlns:pic="http://schemas.openxmlformats.org/drawingml/2006/picture">
            <wp:extent cx="5897880" cy="3319321"/>
            <wp:docPr id="45" name="Picture 45" descr="Image: image54.jpg"/>
            <wp:cNvGraphicFramePr>
              <a:graphicFrameLocks noChangeAspect="1"/>
            </wp:cNvGraphicFramePr>
            <a:graphic>
              <a:graphicData uri="http://schemas.openxmlformats.org/drawingml/2006/picture">
                <pic:pic>
                  <pic:nvPicPr>
                    <pic:cNvPr id="0" name="01_highwall_clone_beast_lab_overview.jpg"/>
                    <pic:cNvPicPr/>
                  </pic:nvPicPr>
                  <pic:blipFill>
                    <a:blip r:embed="rId64"/>
                    <a:stretch>
                      <a:fillRect/>
                    </a:stretch>
                  </pic:blipFill>
                  <pic:spPr>
                    <a:xfrm>
                      <a:off x="0" y="0"/>
                      <a:ext cx="5897880" cy="3319321"/>
                    </a:xfrm>
                    <a:prstGeom prst="rect"/>
                  </pic:spPr>
                </pic:pic>
              </a:graphicData>
            </a:graphic>
          </wp:inline>
        </w:drawing>
      </w:r>
    </w:p>
    <w:p>
      <w:pPr>
        <w:pStyle w:val="Smallnote"/>
        <w:keepNext w:val="0"/>
        <w:keepLines/>
        <w:spacing w:after="140"/>
        <w:jc w:val="center"/>
      </w:pPr>
      <w:r>
        <w:t>高墙里复制神兽实验室总览：多组十至十五层楼高的培养舱、操作廊桥与人类尺度共同建立巨型实验系统。</w:t>
      </w:r>
    </w:p>
    <w:p>
      <w:pPr>
        <w:keepNext/>
        <w:spacing w:before="0" w:after="0"/>
        <w:jc w:val="center"/>
      </w:pPr>
      <w:r>
        <w:drawing>
          <wp:inline xmlns:a="http://schemas.openxmlformats.org/drawingml/2006/main" xmlns:pic="http://schemas.openxmlformats.org/drawingml/2006/picture">
            <wp:extent cx="5897880" cy="3319321"/>
            <wp:docPr id="46" name="Picture 46" descr="Image: image55.jpg"/>
            <wp:cNvGraphicFramePr>
              <a:graphicFrameLocks noChangeAspect="1"/>
            </wp:cNvGraphicFramePr>
            <a:graphic>
              <a:graphicData uri="http://schemas.openxmlformats.org/drawingml/2006/picture">
                <pic:pic>
                  <pic:nvPicPr>
                    <pic:cNvPr id="0" name="02_highwall_containment_observation_gallery(1).jpg"/>
                    <pic:cNvPicPr/>
                  </pic:nvPicPr>
                  <pic:blipFill>
                    <a:blip r:embed="rId65"/>
                    <a:stretch>
                      <a:fillRect/>
                    </a:stretch>
                  </pic:blipFill>
                  <pic:spPr>
                    <a:xfrm>
                      <a:off x="0" y="0"/>
                      <a:ext cx="5897880" cy="3319321"/>
                    </a:xfrm>
                    <a:prstGeom prst="rect"/>
                  </pic:spPr>
                </pic:pic>
              </a:graphicData>
            </a:graphic>
          </wp:inline>
        </w:drawing>
      </w:r>
    </w:p>
    <w:p>
      <w:pPr>
        <w:pStyle w:val="Smallnote"/>
        <w:keepLines/>
        <w:jc w:val="center"/>
      </w:pPr>
      <w:r>
        <w:t>高墙里收容观察厅：超大型多首复制体被固定于环形支撑和透明隔离结构内，观察区与机械臂强调控制、测量和防爆需求。</w:t>
      </w:r>
    </w:p>
    <w:p>
      <w:pPr>
        <w:keepNext/>
        <w:spacing w:before="0" w:after="0"/>
        <w:jc w:val="center"/>
      </w:pPr>
      <w:r>
        <w:drawing>
          <wp:inline xmlns:a="http://schemas.openxmlformats.org/drawingml/2006/main" xmlns:pic="http://schemas.openxmlformats.org/drawingml/2006/picture">
            <wp:extent cx="5897880" cy="3319321"/>
            <wp:docPr id="47" name="Picture 47" descr="Image: image56.jpg"/>
            <wp:cNvGraphicFramePr>
              <a:graphicFrameLocks noChangeAspect="1"/>
            </wp:cNvGraphicFramePr>
            <a:graphic>
              <a:graphicData uri="http://schemas.openxmlformats.org/drawingml/2006/picture">
                <pic:pic>
                  <pic:nvPicPr>
                    <pic:cNvPr id="0" name="03_highwall_cybernetic_surgery_lab.jpg"/>
                    <pic:cNvPicPr/>
                  </pic:nvPicPr>
                  <pic:blipFill>
                    <a:blip r:embed="rId66"/>
                    <a:stretch>
                      <a:fillRect/>
                    </a:stretch>
                  </pic:blipFill>
                  <pic:spPr>
                    <a:xfrm>
                      <a:off x="0" y="0"/>
                      <a:ext cx="5897880" cy="3319321"/>
                    </a:xfrm>
                    <a:prstGeom prst="rect"/>
                  </pic:spPr>
                </pic:pic>
              </a:graphicData>
            </a:graphic>
          </wp:inline>
        </w:drawing>
      </w:r>
    </w:p>
    <w:p>
      <w:pPr>
        <w:pStyle w:val="Smallnote"/>
        <w:keepLines/>
        <w:jc w:val="center"/>
      </w:pPr>
      <w:r>
        <w:t>高墙里义体手术实验室：中央固定台、环形多功能机械臂、观察窗与洁净照明形成标准化身体改造空间。</w:t>
      </w:r>
    </w:p>
    <w:p>
      <w:pPr>
        <w:pStyle w:val="ListBullet"/>
      </w:pPr>
      <w:r>
        <w:rPr>
          <w:rFonts w:ascii="Noto Sans CJK SC" w:hAnsi="Noto Sans CJK SC" w:eastAsia="Noto Sans CJK SC"/>
        </w:rPr>
        <w:t>复制体拥有身体结构与条件反射，但没有真实记忆、意志与灵魂；视觉上应避免赋予它们完整人格化表情。</w:t>
      </w:r>
    </w:p>
    <w:p>
      <w:pPr>
        <w:pStyle w:val="ListBullet"/>
      </w:pPr>
      <w:r>
        <w:rPr>
          <w:rFonts w:ascii="Noto Sans CJK SC" w:hAnsi="Noto Sans CJK SC" w:eastAsia="Noto Sans CJK SC"/>
        </w:rPr>
        <w:t>体量基准为十至十五层楼高。舱体、起重系统、观察廊和维护人员必须共同证明尺度。</w:t>
      </w:r>
    </w:p>
    <w:p>
      <w:pPr>
        <w:pStyle w:val="ListBullet"/>
      </w:pPr>
      <w:r>
        <w:rPr>
          <w:rFonts w:ascii="Noto Sans CJK SC" w:hAnsi="Noto Sans CJK SC" w:eastAsia="Noto Sans CJK SC"/>
        </w:rPr>
        <w:t>实验层深埋高墙里的军事科研区，禁止混入兽山古建、废机坟铁皮聚落和裂口霓虹黑市。</w:t>
      </w:r>
    </w:p>
    <w:p>
      <w:pPr>
        <w:pStyle w:val="ListBullet"/>
      </w:pPr>
      <w:r>
        <w:rPr>
          <w:rFonts w:ascii="Noto Sans CJK SC" w:hAnsi="Noto Sans CJK SC" w:eastAsia="Noto Sans CJK SC"/>
        </w:rPr>
        <w:t>色彩以冷白、深黑和警戒红为主；培养液可用低饱和青绿，但不能画成自然生态。</w:t>
      </w:r>
    </w:p>
    <w:p>
      <w:pPr>
        <w:pStyle w:val="ListBullet"/>
      </w:pPr>
      <w:r>
        <w:rPr>
          <w:rFonts w:ascii="Noto Sans CJK SC" w:hAnsi="Noto Sans CJK SC" w:eastAsia="Noto Sans CJK SC"/>
        </w:rPr>
        <w:t>控制系统对活体接口的依赖，可通过三套不兼容的接口标准、维护设备与隔离结构体现；本城市设定集不展开任何具体人物。</w:t>
      </w:r>
    </w:p>
    <w:tbl>
      <w:tblPr>
        <w:tblW w:type="dxa" w:w="9360"/>
        <w:jc w:val="center"/>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F2DDDD"/>
          </w:tcPr>
          <w:p>
            <w:pPr>
              <w:spacing w:after="0"/>
            </w:pPr>
            <w:r>
              <w:rPr>
                <w:rFonts w:ascii="Noto Sans CJK SC" w:hAnsi="Noto Sans CJK SC" w:eastAsia="Noto Sans CJK SC"/>
                <w:b/>
                <w:color w:val="244C66"/>
                <w:sz w:val="21"/>
              </w:rPr>
              <w:t xml:space="preserve">[待确认] 实验组织  </w:t>
            </w:r>
            <w:r>
              <w:rPr>
                <w:rFonts w:ascii="Noto Sans CJK SC" w:hAnsi="Noto Sans CJK SC" w:eastAsia="Noto Sans CJK SC"/>
                <w:b w:val="0"/>
                <w:color w:val="17212B"/>
                <w:sz w:val="21"/>
              </w:rPr>
              <w:t>正式公司名、五大财团、科研部门名称、复制体批次规则、量产目的与上层公开口径均未锁定。早期提出过的机构名和义体系列名不进入正典。</w:t>
            </w:r>
          </w:p>
        </w:tc>
        <w:trPr>
          <w:tblHeader/>
        </w:trPr>
      </w:tr>
    </w:tbl>
    <w:p>
      <w:pPr>
        <w:spacing w:before="80" w:after="200"/>
        <w:ind w:left="160"/>
        <w:jc w:val="left"/>
        <w:pageBreakBefore/>
        <w:shd w:fill="315F78"/>
      </w:pPr>
      <w:r>
        <w:rPr>
          <w:rFonts w:ascii="Noto Sans CJK SC" w:hAnsi="Noto Sans CJK SC" w:eastAsia="Noto Sans CJK SC"/>
          <w:b/>
          <w:color w:val="FFFFFF"/>
          <w:sz w:val="32"/>
        </w:rPr>
        <w:t>高墙里  /  用空间与材质表达矛盾</w:t>
      </w:r>
    </w:p>
    <w:p>
      <w:pPr>
        <w:pStyle w:val="Heading1"/>
      </w:pPr>
      <w:r>
        <w:t>2.6 高墙里的城市冲突界面</w:t>
      </w:r>
    </w:p>
    <w:tbl>
      <w:tblPr>
        <w:tblStyle w:val="TableGrid"/>
        <w:tblW w:type="dxa" w:w="9360"/>
        <w:jc w:val="center"/>
        <w:tblLayout w:type="fixed"/>
        <w:tblLook w:firstColumn="1" w:firstRow="1" w:lastColumn="0" w:lastRow="0" w:noHBand="0" w:noVBand="1" w:val="04A0"/>
        <w:tblInd w:w="120" w:type="dxa"/>
      </w:tblPr>
      <w:tblGrid>
        <w:gridCol w:w="1900"/>
        <w:gridCol w:w="4200"/>
        <w:gridCol w:w="3260"/>
      </w:tblGrid>
      <w:tr>
        <w:trPr>
          <w:tblHeader w:val="true"/>
          <w:cantSplit/>
        </w:trPr>
        <w:tc>
          <w:tcPr>
            <w:tcW w:type="dxa" w:w="19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冲突界面</w:t>
            </w:r>
          </w:p>
        </w:tc>
        <w:tc>
          <w:tcPr>
            <w:tcW w:type="dxa" w:w="42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美术表达</w:t>
            </w:r>
          </w:p>
        </w:tc>
        <w:tc>
          <w:tcPr>
            <w:tcW w:type="dxa" w:w="326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禁止简化</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上层 / 底层</w:t>
            </w:r>
          </w:p>
        </w:tc>
        <w:tc>
          <w:tcPr>
            <w:tcW w:type="dxa" w:w="42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天空、日照、留白与完整表皮，对照背光、拥挤、外露结构与修补。</w:t>
            </w:r>
          </w:p>
        </w:tc>
        <w:tc>
          <w:tcPr>
            <w:tcW w:type="dxa" w:w="32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不要只靠衣服贵贱；建筑尺度与服务质量必须同步变化。</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人类 / 兽人</w:t>
            </w:r>
          </w:p>
        </w:tc>
        <w:tc>
          <w:tcPr>
            <w:tcW w:type="dxa" w:w="42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人类标准尺寸的门、座椅、安检与监控，迫使兽人迁就。</w:t>
            </w:r>
          </w:p>
        </w:tc>
        <w:tc>
          <w:tcPr>
            <w:tcW w:type="dxa" w:w="32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不要画成“禁止入内”的单一标语冲突。</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自然生命 / 复制体</w:t>
            </w:r>
          </w:p>
        </w:tc>
        <w:tc>
          <w:tcPr>
            <w:tcW w:type="dxa" w:w="42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兽山原生生命的自主眼神与不规则生命纹理，对照实验体的巨大、安静和反射性动作。</w:t>
            </w:r>
          </w:p>
        </w:tc>
        <w:tc>
          <w:tcPr>
            <w:tcW w:type="dxa" w:w="32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不要把复制体处理成普通邪恶怪兽。</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身体 / 商品</w:t>
            </w:r>
          </w:p>
        </w:tc>
        <w:tc>
          <w:tcPr>
            <w:tcW w:type="dxa" w:w="42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义体柜、模块化眼球、租赁接口、维护账单与标准插槽。</w:t>
            </w:r>
          </w:p>
        </w:tc>
        <w:tc>
          <w:tcPr>
            <w:tcW w:type="dxa" w:w="32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不要把义体只当炫酷武器。</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监视 / 反监视</w:t>
            </w:r>
          </w:p>
        </w:tc>
        <w:tc>
          <w:tcPr>
            <w:tcW w:type="dxa" w:w="42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门禁、协议、工位数据和城市盲区形成不同层次。</w:t>
            </w:r>
          </w:p>
        </w:tc>
        <w:tc>
          <w:tcPr>
            <w:tcW w:type="dxa" w:w="32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不要全城只重复摄像头。</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秩序 / 平等诉求</w:t>
            </w:r>
          </w:p>
        </w:tc>
        <w:tc>
          <w:tcPr>
            <w:tcW w:type="dxa" w:w="42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上层精密系统与底层手工修补并置；底层互助空间更像分散的生活网络。</w:t>
            </w:r>
          </w:p>
        </w:tc>
        <w:tc>
          <w:tcPr>
            <w:tcW w:type="dxa" w:w="32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未经确认，不把所有底层居民自动归入同一组织。</w:t>
            </w:r>
          </w:p>
        </w:tc>
      </w:tr>
    </w:tbl>
    <w:p>
      <w:pPr>
        <w:spacing w:before="80" w:after="200"/>
        <w:ind w:left="160"/>
        <w:jc w:val="left"/>
        <w:pageBreakBefore/>
        <w:shd w:fill="3F6C5D"/>
      </w:pPr>
      <w:r>
        <w:rPr>
          <w:rFonts w:ascii="Noto Sans CJK SC" w:hAnsi="Noto Sans CJK SC" w:eastAsia="Noto Sans CJK SC"/>
          <w:b/>
          <w:color w:val="FFFFFF"/>
          <w:sz w:val="32"/>
        </w:rPr>
        <w:t>兽山  /  自然地形、古建与真实神兽</w:t>
      </w:r>
    </w:p>
    <w:p>
      <w:pPr>
        <w:pStyle w:val="Heading1"/>
      </w:pPr>
      <w:r>
        <w:t>3. 兽山：原生生命与山体文明</w:t>
      </w:r>
    </w:p>
    <w:p>
      <w:pPr>
        <w:keepNext/>
        <w:spacing w:before="0" w:after="0"/>
        <w:jc w:val="center"/>
      </w:pPr>
      <w:r>
        <w:drawing>
          <wp:inline xmlns:a="http://schemas.openxmlformats.org/drawingml/2006/main" xmlns:pic="http://schemas.openxmlformats.org/drawingml/2006/picture">
            <wp:extent cx="5897880" cy="2528543"/>
            <wp:docPr id="48" name="Picture 48" descr="Image: image57.jpg"/>
            <wp:cNvGraphicFramePr>
              <a:graphicFrameLocks noChangeAspect="1"/>
            </wp:cNvGraphicFramePr>
            <a:graphic>
              <a:graphicData uri="http://schemas.openxmlformats.org/drawingml/2006/picture">
                <pic:pic>
                  <pic:nvPicPr>
                    <pic:cNvPr id="0" name="兽山黑金巨门.jpg"/>
                    <pic:cNvPicPr/>
                  </pic:nvPicPr>
                  <pic:blipFill>
                    <a:blip r:embed="rId67"/>
                    <a:stretch>
                      <a:fillRect/>
                    </a:stretch>
                  </pic:blipFill>
                  <pic:spPr>
                    <a:xfrm>
                      <a:off x="0" y="0"/>
                      <a:ext cx="5897880" cy="2528543"/>
                    </a:xfrm>
                    <a:prstGeom prst="rect"/>
                  </pic:spPr>
                </pic:pic>
              </a:graphicData>
            </a:graphic>
          </wp:inline>
        </w:drawing>
      </w:r>
    </w:p>
    <w:p>
      <w:pPr>
        <w:pStyle w:val="Smallnote"/>
        <w:keepNext w:val="0"/>
        <w:keepLines/>
        <w:spacing w:after="140"/>
        <w:jc w:val="center"/>
      </w:pPr>
      <w:r>
        <w:t>兽山黑金巨门：巨门嵌入山体，黑石、旧金属、链条、瀑布与层叠山居共同建立入口尺度；城市设施依附地形而非抹平地形。</w:t>
      </w:r>
    </w:p>
    <w:p>
      <w:pPr>
        <w:keepLines w:val="0"/>
      </w:pPr>
      <w:r>
        <w:rPr>
          <w:rFonts w:ascii="Noto Sans CJK SC" w:hAnsi="Noto Sans CJK SC" w:eastAsia="Noto Sans CJK SC"/>
        </w:rPr>
        <w:t>兽山是所有原生兽人的出生地。它不是封闭监狱，兽人可以前往高墙里、裂口等区域；但进入高墙里时常遭受排斥、审查和监视。兽山保存真实的记忆、意志、灵性与古老血脉，真正神兽与高墙复制体在生命本质上不同。</w:t>
      </w:r>
    </w:p>
    <w:tbl>
      <w:tblPr>
        <w:tblStyle w:val="TableGrid"/>
        <w:tblW w:type="dxa" w:w="9360"/>
        <w:jc w:val="center"/>
        <w:tblLayout w:type="fixed"/>
        <w:tblLook w:firstColumn="1" w:firstRow="1" w:lastColumn="0" w:lastRow="0" w:noHBand="0" w:noVBand="1" w:val="04A0"/>
        <w:tblInd w:w="120" w:type="dxa"/>
      </w:tblPr>
      <w:tblGrid>
        <w:gridCol w:w="1800"/>
        <w:gridCol w:w="2600"/>
        <w:gridCol w:w="2750"/>
        <w:gridCol w:w="2210"/>
      </w:tblGrid>
      <w:tr>
        <w:trPr>
          <w:tblHeader w:val="true"/>
          <w:cantSplit/>
        </w:trPr>
        <w:tc>
          <w:tcPr>
            <w:tcW w:type="dxa" w:w="18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空间层级</w:t>
            </w:r>
          </w:p>
        </w:tc>
        <w:tc>
          <w:tcPr>
            <w:tcW w:type="dxa" w:w="26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功能方向</w:t>
            </w:r>
          </w:p>
        </w:tc>
        <w:tc>
          <w:tcPr>
            <w:tcW w:type="dxa" w:w="275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居民与活动</w:t>
            </w:r>
          </w:p>
        </w:tc>
        <w:tc>
          <w:tcPr>
            <w:tcW w:type="dxa" w:w="221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美术关键词</w:t>
            </w:r>
          </w:p>
        </w:tc>
      </w:tr>
      <w:tr>
        <w:trPr>
          <w:cantSplit/>
        </w:trPr>
        <w:tc>
          <w:tcPr>
            <w:tcW w:type="dxa" w:w="1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山门与守门带</w:t>
            </w:r>
          </w:p>
        </w:tc>
        <w:tc>
          <w:tcPr>
            <w:tcW w:type="dxa" w:w="26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识别来者、维护路径、连接外部。</w:t>
            </w:r>
          </w:p>
        </w:tc>
        <w:tc>
          <w:tcPr>
            <w:tcW w:type="dxa" w:w="27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守门人、运输者、返乡兽人、访客。</w:t>
            </w:r>
          </w:p>
        </w:tc>
        <w:tc>
          <w:tcPr>
            <w:tcW w:type="dxa" w:w="22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巨型门洞、崖壁、石阶、风化标记。</w:t>
            </w:r>
          </w:p>
        </w:tc>
      </w:tr>
      <w:tr>
        <w:trPr>
          <w:cantSplit/>
        </w:trPr>
        <w:tc>
          <w:tcPr>
            <w:tcW w:type="dxa" w:w="1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悬崖聚落</w:t>
            </w:r>
          </w:p>
        </w:tc>
        <w:tc>
          <w:tcPr>
            <w:tcW w:type="dxa" w:w="26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居住、手工、公共议事与日常交易。</w:t>
            </w:r>
          </w:p>
        </w:tc>
        <w:tc>
          <w:tcPr>
            <w:tcW w:type="dxa" w:w="27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不同兽族家庭、工匠、猎手与儿童。</w:t>
            </w:r>
          </w:p>
        </w:tc>
        <w:tc>
          <w:tcPr>
            <w:tcW w:type="dxa" w:w="22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岩体嵌入、错层屋檐、适配角尾翼的空间。</w:t>
            </w:r>
          </w:p>
        </w:tc>
      </w:tr>
      <w:tr>
        <w:trPr>
          <w:cantSplit/>
        </w:trPr>
        <w:tc>
          <w:tcPr>
            <w:tcW w:type="dxa" w:w="1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万兽食街</w:t>
            </w:r>
          </w:p>
        </w:tc>
        <w:tc>
          <w:tcPr>
            <w:tcW w:type="dxa" w:w="26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跨兽族饮食交换与公共生活。</w:t>
            </w:r>
          </w:p>
        </w:tc>
        <w:tc>
          <w:tcPr>
            <w:tcW w:type="dxa" w:w="27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肉食、草食、谷物、水生与鸟类兽人。</w:t>
            </w:r>
          </w:p>
        </w:tc>
        <w:tc>
          <w:tcPr>
            <w:tcW w:type="dxa" w:w="22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分区灶台、悬挂储存、高台座位、水槽。</w:t>
            </w:r>
          </w:p>
        </w:tc>
      </w:tr>
      <w:tr>
        <w:trPr>
          <w:cantSplit/>
        </w:trPr>
        <w:tc>
          <w:tcPr>
            <w:tcW w:type="dxa" w:w="1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地下种植与洞穴区</w:t>
            </w:r>
          </w:p>
        </w:tc>
        <w:tc>
          <w:tcPr>
            <w:tcW w:type="dxa" w:w="26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种植、储藏、菌类/根茎与避风空间。</w:t>
            </w:r>
          </w:p>
        </w:tc>
        <w:tc>
          <w:tcPr>
            <w:tcW w:type="dxa" w:w="27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地下种植师及协作者。</w:t>
            </w:r>
          </w:p>
        </w:tc>
        <w:tc>
          <w:tcPr>
            <w:tcW w:type="dxa" w:w="22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暖湿土层、根系、低位灯火、粗石拱顶。</w:t>
            </w:r>
          </w:p>
        </w:tc>
      </w:tr>
      <w:tr>
        <w:trPr>
          <w:cantSplit/>
        </w:trPr>
        <w:tc>
          <w:tcPr>
            <w:tcW w:type="dxa" w:w="1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仪式与记忆空间</w:t>
            </w:r>
          </w:p>
        </w:tc>
        <w:tc>
          <w:tcPr>
            <w:tcW w:type="dxa" w:w="26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保存群体记忆、预兆与古老秩序。</w:t>
            </w:r>
          </w:p>
        </w:tc>
        <w:tc>
          <w:tcPr>
            <w:tcW w:type="dxa" w:w="27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预言者、长者与仪式参与者。</w:t>
            </w:r>
          </w:p>
        </w:tc>
        <w:tc>
          <w:tcPr>
            <w:tcW w:type="dxa" w:w="22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石刻、骨角、织物、风与雾。</w:t>
            </w:r>
          </w:p>
        </w:tc>
      </w:tr>
      <w:tr>
        <w:trPr>
          <w:cantSplit/>
        </w:trPr>
        <w:tc>
          <w:tcPr>
            <w:tcW w:type="dxa" w:w="1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神兽生境</w:t>
            </w:r>
          </w:p>
        </w:tc>
        <w:tc>
          <w:tcPr>
            <w:tcW w:type="dxa" w:w="26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容纳烛龙等超常尺度生命。</w:t>
            </w:r>
          </w:p>
        </w:tc>
        <w:tc>
          <w:tcPr>
            <w:tcW w:type="dxa" w:w="27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真正神兽及其照料/守护者。</w:t>
            </w:r>
          </w:p>
        </w:tc>
        <w:tc>
          <w:tcPr>
            <w:tcW w:type="dxa" w:w="22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山体级洞穴、巨物痕迹、不可人类尺度化。</w:t>
            </w:r>
          </w:p>
        </w:tc>
      </w:tr>
    </w:tbl>
    <w:p>
      <w:pPr>
        <w:spacing w:before="80" w:after="200"/>
        <w:ind w:left="160"/>
        <w:jc w:val="left"/>
        <w:pageBreakBefore/>
        <w:shd w:fill="3F6C5D"/>
      </w:pPr>
      <w:r>
        <w:rPr>
          <w:rFonts w:ascii="Noto Sans CJK SC" w:hAnsi="Noto Sans CJK SC" w:eastAsia="Noto Sans CJK SC"/>
          <w:b/>
          <w:color w:val="FFFFFF"/>
          <w:sz w:val="32"/>
        </w:rPr>
        <w:t>兽山  /  让物种改变建筑</w:t>
      </w:r>
    </w:p>
    <w:p>
      <w:pPr>
        <w:pStyle w:val="Heading1"/>
      </w:pPr>
      <w:r>
        <w:t>3.1 兽山城市规划与建筑适配</w:t>
      </w:r>
    </w:p>
    <w:p>
      <w:pPr>
        <w:keepNext/>
        <w:spacing w:before="0" w:after="0"/>
        <w:jc w:val="center"/>
      </w:pPr>
      <w:r>
        <w:drawing>
          <wp:inline xmlns:a="http://schemas.openxmlformats.org/drawingml/2006/main" xmlns:pic="http://schemas.openxmlformats.org/drawingml/2006/picture">
            <wp:extent cx="5897880" cy="2528543"/>
            <wp:docPr id="49" name="Picture 49" descr="Image: image58.jpg"/>
            <wp:cNvGraphicFramePr>
              <a:graphicFrameLocks noChangeAspect="1"/>
            </wp:cNvGraphicFramePr>
            <a:graphic>
              <a:graphicData uri="http://schemas.openxmlformats.org/drawingml/2006/picture">
                <pic:pic>
                  <pic:nvPicPr>
                    <pic:cNvPr id="0" name="兽山黑镜水庭.jpg"/>
                    <pic:cNvPicPr/>
                  </pic:nvPicPr>
                  <pic:blipFill>
                    <a:blip r:embed="rId68"/>
                    <a:stretch>
                      <a:fillRect/>
                    </a:stretch>
                  </pic:blipFill>
                  <pic:spPr>
                    <a:xfrm>
                      <a:off x="0" y="0"/>
                      <a:ext cx="5897880" cy="2528543"/>
                    </a:xfrm>
                    <a:prstGeom prst="rect"/>
                  </pic:spPr>
                </pic:pic>
              </a:graphicData>
            </a:graphic>
          </wp:inline>
        </w:drawing>
      </w:r>
    </w:p>
    <w:p>
      <w:pPr>
        <w:pStyle w:val="Smallnote"/>
        <w:keepNext w:val="0"/>
        <w:keepLines/>
        <w:spacing w:after="140"/>
        <w:jc w:val="center"/>
      </w:pPr>
      <w:r>
        <w:t>兽山黑镜水庭：圆形水庭、山谷瀑布、岩壁建筑与少量机械水工设施共同表现公共空间对自然水系的顺应。</w:t>
      </w:r>
    </w:p>
    <w:p>
      <w:pPr>
        <w:pStyle w:val="ListBullet"/>
      </w:pPr>
      <w:r>
        <w:rPr>
          <w:rFonts w:ascii="Noto Sans CJK SC" w:hAnsi="Noto Sans CJK SC" w:eastAsia="Noto Sans CJK SC"/>
        </w:rPr>
        <w:t>道路不是统一人形尺度：步道、攀爬道、翼兽起降台、水生通道和大型兽族回转空间应互相叠加。</w:t>
      </w:r>
    </w:p>
    <w:p>
      <w:pPr>
        <w:pStyle w:val="ListBullet"/>
      </w:pPr>
      <w:r>
        <w:rPr>
          <w:rFonts w:ascii="Noto Sans CJK SC" w:hAnsi="Noto Sans CJK SC" w:eastAsia="Noto Sans CJK SC"/>
        </w:rPr>
        <w:t>建筑优先“嵌入山体”而非在山上平铺现代楼房；洞穴、悬挑木构、石台和古桥形成多层剖面。</w:t>
      </w:r>
    </w:p>
    <w:p>
      <w:pPr>
        <w:pStyle w:val="ListBullet"/>
      </w:pPr>
      <w:r>
        <w:rPr>
          <w:rFonts w:ascii="Noto Sans CJK SC" w:hAnsi="Noto Sans CJK SC" w:eastAsia="Noto Sans CJK SC"/>
        </w:rPr>
        <w:t>门、窗、座椅和桌面要回应角、尾、蹄、翼、蛇形下身与不同重心，避免所有兽人只换头不换生活方式。</w:t>
      </w:r>
    </w:p>
    <w:p>
      <w:pPr>
        <w:pStyle w:val="ListBullet"/>
      </w:pPr>
      <w:r>
        <w:rPr>
          <w:rFonts w:ascii="Noto Sans CJK SC" w:hAnsi="Noto Sans CJK SC" w:eastAsia="Noto Sans CJK SC"/>
        </w:rPr>
        <w:t>古建不等于整洁旅游景区：应有风蚀、烟熏、修补、苔痕、兽爪磨损和长期使用形成的路径。</w:t>
      </w:r>
    </w:p>
    <w:p>
      <w:pPr>
        <w:pStyle w:val="ListBullet"/>
      </w:pPr>
      <w:r>
        <w:rPr>
          <w:rFonts w:ascii="Noto Sans CJK SC" w:hAnsi="Noto Sans CJK SC" w:eastAsia="Noto Sans CJK SC"/>
        </w:rPr>
        <w:t>大型神兽的存在必须改变地形：岩壁刮痕、巨型卧槽、热/雾/水环境、供奉与避让空间都可成为间接证据。</w:t>
      </w:r>
    </w:p>
    <w:p>
      <w:pPr>
        <w:pStyle w:val="ListBullet"/>
      </w:pPr>
      <w:r>
        <w:rPr>
          <w:rFonts w:ascii="Noto Sans CJK SC" w:hAnsi="Noto Sans CJK SC" w:eastAsia="Noto Sans CJK SC"/>
        </w:rPr>
        <w:t>桥是兽山重要轮廓元素，既连接悬崖聚落，也提供居民剪影、运输队列和巨物尺度对照。</w:t>
      </w:r>
    </w:p>
    <w:tbl>
      <w:tblPr>
        <w:tblStyle w:val="TableGrid"/>
        <w:tblW w:type="dxa" w:w="9360"/>
        <w:jc w:val="center"/>
        <w:tblLayout w:type="fixed"/>
        <w:tblLook w:firstColumn="1" w:firstRow="1" w:lastColumn="0" w:lastRow="0" w:noHBand="0" w:noVBand="1" w:val="04A0"/>
        <w:tblInd w:w="120" w:type="dxa"/>
      </w:tblPr>
      <w:tblGrid>
        <w:gridCol w:w="2050"/>
        <w:gridCol w:w="7310"/>
      </w:tblGrid>
      <w:tr>
        <w:trPr>
          <w:tblHeader w:val="true"/>
          <w:cantSplit/>
        </w:trPr>
        <w:tc>
          <w:tcPr>
            <w:tcW w:type="dxa" w:w="205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建筑部件</w:t>
            </w:r>
          </w:p>
        </w:tc>
        <w:tc>
          <w:tcPr>
            <w:tcW w:type="dxa" w:w="731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设计要点</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屋顶与檐口</w:t>
            </w:r>
          </w:p>
        </w:tc>
        <w:tc>
          <w:tcPr>
            <w:tcW w:type="dxa" w:w="7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允许角、翼和高大体型通过；不同兽族可形成不同高度与开口。</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楼梯与坡道</w:t>
            </w:r>
          </w:p>
        </w:tc>
        <w:tc>
          <w:tcPr>
            <w:tcW w:type="dxa" w:w="7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石阶之外加入坡道、抓握点、爪痕槽与蛇形身体可通过的连续面。</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公共座席</w:t>
            </w:r>
          </w:p>
        </w:tc>
        <w:tc>
          <w:tcPr>
            <w:tcW w:type="dxa" w:w="7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高低错层、宽窄混合，不强迫所有身体面对同一尺寸。</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储物系统</w:t>
            </w:r>
          </w:p>
        </w:tc>
        <w:tc>
          <w:tcPr>
            <w:tcW w:type="dxa" w:w="7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悬挂、地下窖藏、高台、密封水槽与嗅觉隔离并存。</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标识系统</w:t>
            </w:r>
          </w:p>
        </w:tc>
        <w:tc>
          <w:tcPr>
            <w:tcW w:type="dxa" w:w="7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可用图腾、材质、气味、声响与方向性挂件，不必完全依赖文字屏幕。</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夜间照明</w:t>
            </w:r>
          </w:p>
        </w:tc>
        <w:tc>
          <w:tcPr>
            <w:tcW w:type="dxa" w:w="7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火、灵性微光、反光矿物与有限机械灯混合；不能整体变成裂口霓虹。</w:t>
            </w:r>
          </w:p>
        </w:tc>
      </w:tr>
    </w:tbl>
    <w:p>
      <w:pPr>
        <w:spacing w:before="80" w:after="200"/>
        <w:ind w:left="160"/>
        <w:jc w:val="left"/>
        <w:pageBreakBefore/>
        <w:shd w:fill="3F6C5D"/>
      </w:pPr>
      <w:r>
        <w:rPr>
          <w:rFonts w:ascii="Noto Sans CJK SC" w:hAnsi="Noto Sans CJK SC" w:eastAsia="Noto Sans CJK SC"/>
          <w:b/>
          <w:color w:val="FFFFFF"/>
          <w:sz w:val="32"/>
        </w:rPr>
        <w:t>兽山  /  不把兽山写成人类官僚城市</w:t>
      </w:r>
    </w:p>
    <w:p>
      <w:pPr>
        <w:pStyle w:val="Heading1"/>
      </w:pPr>
      <w:r>
        <w:t>3.2 居住人群、社会位置与生活系统</w:t>
      </w:r>
    </w:p>
    <w:p>
      <w:pPr>
        <w:keepNext/>
        <w:spacing w:before="0" w:after="0"/>
        <w:jc w:val="center"/>
      </w:pPr>
      <w:r>
        <w:drawing>
          <wp:inline xmlns:a="http://schemas.openxmlformats.org/drawingml/2006/main" xmlns:pic="http://schemas.openxmlformats.org/drawingml/2006/picture">
            <wp:extent cx="5897880" cy="2528543"/>
            <wp:docPr id="50" name="Picture 50" descr="Image: image59.jpg"/>
            <wp:cNvGraphicFramePr>
              <a:graphicFrameLocks noChangeAspect="1"/>
            </wp:cNvGraphicFramePr>
            <a:graphic>
              <a:graphicData uri="http://schemas.openxmlformats.org/drawingml/2006/picture">
                <pic:pic>
                  <pic:nvPicPr>
                    <pic:cNvPr id="0" name="兽山地下耕作层.jpg"/>
                    <pic:cNvPicPr/>
                  </pic:nvPicPr>
                  <pic:blipFill>
                    <a:blip r:embed="rId69"/>
                    <a:stretch>
                      <a:fillRect/>
                    </a:stretch>
                  </pic:blipFill>
                  <pic:spPr>
                    <a:xfrm>
                      <a:off x="0" y="0"/>
                      <a:ext cx="5897880" cy="2528543"/>
                    </a:xfrm>
                    <a:prstGeom prst="rect"/>
                  </pic:spPr>
                </pic:pic>
              </a:graphicData>
            </a:graphic>
          </wp:inline>
        </w:drawing>
      </w:r>
    </w:p>
    <w:p>
      <w:pPr>
        <w:pStyle w:val="Smallnote"/>
        <w:keepLines/>
        <w:jc w:val="center"/>
      </w:pPr>
      <w:r>
        <w:t>兽山地下耕作层：梯田式种植带、根系、洞穴水源、吊运笼与玻璃培育器共同构成地下生产系统；机械只承担辅助，不改变山体文明主体。</w:t>
      </w:r>
    </w:p>
    <w:tbl>
      <w:tblPr>
        <w:tblW w:type="dxa" w:w="9360"/>
        <w:jc w:val="center"/>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DCEAF0"/>
          </w:tcPr>
          <w:p>
            <w:pPr>
              <w:spacing w:after="0"/>
            </w:pPr>
            <w:r>
              <w:rPr>
                <w:rFonts w:ascii="Noto Sans CJK SC" w:hAnsi="Noto Sans CJK SC" w:eastAsia="Noto Sans CJK SC"/>
                <w:b/>
                <w:color w:val="244C66"/>
                <w:sz w:val="21"/>
              </w:rPr>
              <w:t xml:space="preserve">[已确认] 居民原则  </w:t>
            </w:r>
            <w:r>
              <w:rPr>
                <w:rFonts w:ascii="Noto Sans CJK SC" w:hAnsi="Noto Sans CJK SC" w:eastAsia="Noto Sans CJK SC"/>
                <w:b w:val="0"/>
                <w:color w:val="17212B"/>
                <w:sz w:val="21"/>
              </w:rPr>
              <w:t>所有原生兽人都出生于兽山，但可以离开。兽山出生的居民出现在高墙里或裂口，不等于其出生地和文明归属改变。</w:t>
            </w:r>
          </w:p>
        </w:tc>
        <w:trPr>
          <w:tblHeader/>
        </w:trPr>
      </w:tr>
    </w:tbl>
    <w:p>
      <w:pPr>
        <w:spacing w:after="40"/>
      </w:pPr>
    </w:p>
    <w:tbl>
      <w:tblPr>
        <w:tblStyle w:val="TableGrid"/>
        <w:tblW w:type="dxa" w:w="9360"/>
        <w:jc w:val="center"/>
        <w:tblLayout w:type="fixed"/>
        <w:tblLook w:firstColumn="1" w:firstRow="1" w:lastColumn="0" w:lastRow="0" w:noHBand="0" w:noVBand="1" w:val="04A0"/>
        <w:tblInd w:w="120" w:type="dxa"/>
      </w:tblPr>
      <w:tblGrid>
        <w:gridCol w:w="2050"/>
        <w:gridCol w:w="4000"/>
        <w:gridCol w:w="3310"/>
      </w:tblGrid>
      <w:tr>
        <w:trPr>
          <w:tblHeader w:val="true"/>
          <w:cantSplit/>
        </w:trPr>
        <w:tc>
          <w:tcPr>
            <w:tcW w:type="dxa" w:w="205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居民类型</w:t>
            </w:r>
          </w:p>
        </w:tc>
        <w:tc>
          <w:tcPr>
            <w:tcW w:type="dxa" w:w="40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生活与空间需求</w:t>
            </w:r>
          </w:p>
        </w:tc>
        <w:tc>
          <w:tcPr>
            <w:tcW w:type="dxa" w:w="331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视觉提示</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守门与路径维护者</w:t>
            </w:r>
          </w:p>
        </w:tc>
        <w:tc>
          <w:tcPr>
            <w:tcW w:type="dxa" w:w="4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掌握山路、入口和危险地带；空间靠近门、桥与崖口。</w:t>
            </w:r>
          </w:p>
        </w:tc>
        <w:tc>
          <w:tcPr>
            <w:tcW w:type="dxa" w:w="3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耐候装备、绳索、石制标记、远距观察。</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种植与采集者</w:t>
            </w:r>
          </w:p>
        </w:tc>
        <w:tc>
          <w:tcPr>
            <w:tcW w:type="dxa" w:w="4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经营地下种植、山地作物、药材和储藏。</w:t>
            </w:r>
          </w:p>
        </w:tc>
        <w:tc>
          <w:tcPr>
            <w:tcW w:type="dxa" w:w="3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土色织物、籽袋、根系工具、潮湿暖光。</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猎手与追踪者</w:t>
            </w:r>
          </w:p>
        </w:tc>
        <w:tc>
          <w:tcPr>
            <w:tcW w:type="dxa" w:w="4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熟悉山林、气味、足迹与跨区路径。</w:t>
            </w:r>
          </w:p>
        </w:tc>
        <w:tc>
          <w:tcPr>
            <w:tcW w:type="dxa" w:w="3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轻量护具、耐磨边缘、可快速移动的轮廓。</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预兆与记忆承担者</w:t>
            </w:r>
          </w:p>
        </w:tc>
        <w:tc>
          <w:tcPr>
            <w:tcW w:type="dxa" w:w="4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处理灾难预兆、集体记忆与仪式空间。</w:t>
            </w:r>
          </w:p>
        </w:tc>
        <w:tc>
          <w:tcPr>
            <w:tcW w:type="dxa" w:w="3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浅色或低饱和服装、流动材质、留白与风。</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工匠与修造者</w:t>
            </w:r>
          </w:p>
        </w:tc>
        <w:tc>
          <w:tcPr>
            <w:tcW w:type="dxa" w:w="4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修桥、修屋、制作器物并吸收外来材料。</w:t>
            </w:r>
          </w:p>
        </w:tc>
        <w:tc>
          <w:tcPr>
            <w:tcW w:type="dxa" w:w="3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自然材料和少量机械件并置，但不废机坟化。</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大型兽族</w:t>
            </w:r>
          </w:p>
        </w:tc>
        <w:tc>
          <w:tcPr>
            <w:tcW w:type="dxa" w:w="4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需要更宽门洞、更强地面和更大转身半径。</w:t>
            </w:r>
          </w:p>
        </w:tc>
        <w:tc>
          <w:tcPr>
            <w:tcW w:type="dxa" w:w="3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让建筑在其身边显得被迫让路。</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翼兽 / 小型兽族 / 水生兽族</w:t>
            </w:r>
          </w:p>
        </w:tc>
        <w:tc>
          <w:tcPr>
            <w:tcW w:type="dxa" w:w="4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分别需要高台、细小通道或水体连接。</w:t>
            </w:r>
          </w:p>
        </w:tc>
        <w:tc>
          <w:tcPr>
            <w:tcW w:type="dxa" w:w="3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用空间位置区分，而非把所有人排在同一街面。</w:t>
            </w:r>
          </w:p>
        </w:tc>
      </w:tr>
    </w:tbl>
    <w:p>
      <w:pPr>
        <w:spacing w:after="40"/>
      </w:pPr>
    </w:p>
    <w:tbl>
      <w:tblPr>
        <w:tblW w:type="dxa" w:w="9360"/>
        <w:jc w:val="center"/>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F2DDDD"/>
          </w:tcPr>
          <w:p>
            <w:pPr>
              <w:spacing w:after="0"/>
            </w:pPr>
            <w:r>
              <w:rPr>
                <w:rFonts w:ascii="Noto Sans CJK SC" w:hAnsi="Noto Sans CJK SC" w:eastAsia="Noto Sans CJK SC"/>
                <w:b/>
                <w:color w:val="244C66"/>
                <w:sz w:val="21"/>
              </w:rPr>
              <w:t xml:space="preserve">[待确认] 治理与阶层  </w:t>
            </w:r>
            <w:r>
              <w:rPr>
                <w:rFonts w:ascii="Noto Sans CJK SC" w:hAnsi="Noto Sans CJK SC" w:eastAsia="Noto Sans CJK SC"/>
                <w:b w:val="0"/>
                <w:color w:val="17212B"/>
                <w:sz w:val="21"/>
              </w:rPr>
              <w:t>兽山正式治理结构、继承方式、财富衡量、祭祀权力与不同兽族之间的等级关系尚未确认。因此本版只按功能共同体和空间职能分类，不擅自设定“王族、长老会或贵族”。</w:t>
            </w:r>
          </w:p>
        </w:tc>
        <w:trPr>
          <w:tblHeader/>
        </w:trPr>
      </w:tr>
    </w:tbl>
    <w:p>
      <w:pPr>
        <w:spacing w:before="80" w:after="200"/>
        <w:ind w:left="160"/>
        <w:jc w:val="left"/>
        <w:pageBreakBefore/>
        <w:shd w:fill="3F6C5D"/>
      </w:pPr>
      <w:r>
        <w:rPr>
          <w:rFonts w:ascii="Noto Sans CJK SC" w:hAnsi="Noto Sans CJK SC" w:eastAsia="Noto Sans CJK SC"/>
          <w:b/>
          <w:color w:val="FFFFFF"/>
          <w:sz w:val="32"/>
        </w:rPr>
        <w:t>兽山  /  用饮食表现物种差异</w:t>
      </w:r>
    </w:p>
    <w:p>
      <w:pPr>
        <w:pStyle w:val="Heading1"/>
      </w:pPr>
      <w:r>
        <w:t>3.3 万兽食街与公共生活</w:t>
      </w:r>
    </w:p>
    <w:p>
      <w:pPr>
        <w:keepNext/>
        <w:spacing w:before="40" w:after="60"/>
        <w:jc w:val="center"/>
      </w:pPr>
      <w:r>
        <w:drawing>
          <wp:inline xmlns:a="http://schemas.openxmlformats.org/drawingml/2006/main" xmlns:pic="http://schemas.openxmlformats.org/drawingml/2006/picture">
            <wp:extent cx="5943600" cy="3343275"/>
            <wp:docPr id="28" name="Picture 28" descr="Image: image38.jpg"/>
            <wp:cNvGraphicFramePr>
              <a:graphicFrameLocks noChangeAspect="1"/>
            </wp:cNvGraphicFramePr>
            <a:graphic>
              <a:graphicData uri="http://schemas.openxmlformats.org/drawingml/2006/picture">
                <pic:pic>
                  <pic:nvPicPr>
                    <pic:cNvPr id="0" name="万兽食街的蒸汽市场.jpg"/>
                    <pic:cNvPicPr/>
                  </pic:nvPicPr>
                  <pic:blipFill>
                    <a:blip r:embed="rId48"/>
                    <a:stretch>
                      <a:fillRect/>
                    </a:stretch>
                  </pic:blipFill>
                  <pic:spPr>
                    <a:xfrm>
                      <a:off x="0" y="0"/>
                      <a:ext cx="5943600" cy="3343275"/>
                    </a:xfrm>
                    <a:prstGeom prst="rect"/>
                  </pic:spPr>
                </pic:pic>
              </a:graphicData>
            </a:graphic>
          </wp:inline>
        </w:drawing>
      </w:r>
    </w:p>
    <w:p>
      <w:pPr>
        <w:pStyle w:val="Smallnote"/>
        <w:keepNext w:val="0"/>
        <w:spacing w:after="140"/>
        <w:jc w:val="center"/>
      </w:pPr>
      <w:r>
        <w:rPr>
          <w:rFonts w:ascii="Noto Sans CJK SC" w:hAnsi="Noto Sans CJK SC" w:eastAsia="Noto Sans CJK SC"/>
          <w:b w:val="0"/>
          <w:color w:val="66737E"/>
          <w:sz w:val="17"/>
        </w:rPr>
        <w:t>万兽食街环境资产：多层平台、悬桥、分区灶台、水路与不同尺度餐饮空间共同构成兽山公共生活中心。</w:t>
      </w:r>
    </w:p>
    <w:tbl>
      <w:tblPr>
        <w:tblStyle w:val="TableGrid"/>
        <w:tblW w:type="dxa" w:w="9360"/>
        <w:jc w:val="center"/>
        <w:tblLayout w:type="fixed"/>
        <w:tblLook w:firstColumn="1" w:firstRow="1" w:lastColumn="0" w:lastRow="0" w:noHBand="0" w:noVBand="1" w:val="04A0"/>
        <w:tblInd w:w="120" w:type="dxa"/>
      </w:tblPr>
      <w:tblGrid>
        <w:gridCol w:w="1800"/>
        <w:gridCol w:w="3900"/>
        <w:gridCol w:w="3660"/>
      </w:tblGrid>
      <w:tr>
        <w:trPr>
          <w:tblHeader w:val="true"/>
          <w:cantSplit/>
        </w:trPr>
        <w:tc>
          <w:tcPr>
            <w:tcW w:type="dxa" w:w="18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分区</w:t>
            </w:r>
          </w:p>
        </w:tc>
        <w:tc>
          <w:tcPr>
            <w:tcW w:type="dxa" w:w="39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空间与道具</w:t>
            </w:r>
          </w:p>
        </w:tc>
        <w:tc>
          <w:tcPr>
            <w:tcW w:type="dxa" w:w="366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画面重点</w:t>
            </w:r>
          </w:p>
        </w:tc>
      </w:tr>
      <w:tr>
        <w:trPr>
          <w:cantSplit/>
        </w:trPr>
        <w:tc>
          <w:tcPr>
            <w:tcW w:type="dxa" w:w="1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肉食区</w:t>
            </w:r>
          </w:p>
        </w:tc>
        <w:tc>
          <w:tcPr>
            <w:tcW w:type="dxa" w:w="3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大火、吊架、重刀、耐污石台、强排烟。</w:t>
            </w:r>
          </w:p>
        </w:tc>
        <w:tc>
          <w:tcPr>
            <w:tcW w:type="dxa" w:w="36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尺度、热气和切割痕迹；与邻区保持气味/卫生缓冲。</w:t>
            </w:r>
          </w:p>
        </w:tc>
      </w:tr>
      <w:tr>
        <w:trPr>
          <w:cantSplit/>
        </w:trPr>
        <w:tc>
          <w:tcPr>
            <w:tcW w:type="dxa" w:w="1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草食与药植区</w:t>
            </w:r>
          </w:p>
        </w:tc>
        <w:tc>
          <w:tcPr>
            <w:tcW w:type="dxa" w:w="3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鲜草、根茎、叶片、低温储存和清洗台。</w:t>
            </w:r>
          </w:p>
        </w:tc>
        <w:tc>
          <w:tcPr>
            <w:tcW w:type="dxa" w:w="36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丰富纤维与湿润色彩，避免只画成现代菜市场。</w:t>
            </w:r>
          </w:p>
        </w:tc>
      </w:tr>
      <w:tr>
        <w:trPr>
          <w:cantSplit/>
        </w:trPr>
        <w:tc>
          <w:tcPr>
            <w:tcW w:type="dxa" w:w="1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谷物与发酵区</w:t>
            </w:r>
          </w:p>
        </w:tc>
        <w:tc>
          <w:tcPr>
            <w:tcW w:type="dxa" w:w="3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石磨、蒸汽、陶器、布袋和公共长桌。</w:t>
            </w:r>
          </w:p>
        </w:tc>
        <w:tc>
          <w:tcPr>
            <w:tcW w:type="dxa" w:w="36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更强的社区共享感和耐久器物。</w:t>
            </w:r>
          </w:p>
        </w:tc>
      </w:tr>
      <w:tr>
        <w:trPr>
          <w:cantSplit/>
        </w:trPr>
        <w:tc>
          <w:tcPr>
            <w:tcW w:type="dxa" w:w="1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水生区</w:t>
            </w:r>
          </w:p>
        </w:tc>
        <w:tc>
          <w:tcPr>
            <w:tcW w:type="dxa" w:w="3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活水槽、低位操作面、防滑地面、排水沟。</w:t>
            </w:r>
          </w:p>
        </w:tc>
        <w:tc>
          <w:tcPr>
            <w:tcW w:type="dxa" w:w="36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水面反光、湿润空气与不同身体高度。</w:t>
            </w:r>
          </w:p>
        </w:tc>
      </w:tr>
      <w:tr>
        <w:trPr>
          <w:cantSplit/>
        </w:trPr>
        <w:tc>
          <w:tcPr>
            <w:tcW w:type="dxa" w:w="1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鸟类高台</w:t>
            </w:r>
          </w:p>
        </w:tc>
        <w:tc>
          <w:tcPr>
            <w:tcW w:type="dxa" w:w="3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悬挑座位、栖架、起降空间、轻量餐具。</w:t>
            </w:r>
          </w:p>
        </w:tc>
        <w:tc>
          <w:tcPr>
            <w:tcW w:type="dxa" w:w="36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让垂直空间真正被使用，形成高低层群像。</w:t>
            </w:r>
          </w:p>
        </w:tc>
      </w:tr>
      <w:tr>
        <w:trPr>
          <w:cantSplit/>
        </w:trPr>
        <w:tc>
          <w:tcPr>
            <w:tcW w:type="dxa" w:w="1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混合公共区</w:t>
            </w:r>
          </w:p>
        </w:tc>
        <w:tc>
          <w:tcPr>
            <w:tcW w:type="dxa" w:w="3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适配多种身体的错层桌椅、交换摊与公告点。</w:t>
            </w:r>
          </w:p>
        </w:tc>
        <w:tc>
          <w:tcPr>
            <w:tcW w:type="dxa" w:w="36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兽山社会的包容尺度应与高墙的人类标准形成对照。</w:t>
            </w:r>
          </w:p>
        </w:tc>
      </w:tr>
    </w:tbl>
    <w:p>
      <w:pPr>
        <w:spacing w:after="40"/>
      </w:pPr>
    </w:p>
    <w:tbl>
      <w:tblPr>
        <w:tblW w:type="dxa" w:w="9360"/>
        <w:jc w:val="center"/>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F3E9D3"/>
          </w:tcPr>
          <w:p>
            <w:pPr>
              <w:spacing w:after="0"/>
            </w:pPr>
            <w:r>
              <w:rPr>
                <w:rFonts w:ascii="Noto Sans CJK SC" w:hAnsi="Noto Sans CJK SC" w:eastAsia="Noto Sans CJK SC"/>
                <w:b/>
                <w:color w:val="244C66"/>
                <w:sz w:val="21"/>
              </w:rPr>
              <w:t xml:space="preserve">[概念提案] 食街生产建议  </w:t>
            </w:r>
            <w:r>
              <w:rPr>
                <w:rFonts w:ascii="Noto Sans CJK SC" w:hAnsi="Noto Sans CJK SC" w:eastAsia="Noto Sans CJK SC"/>
                <w:b w:val="0"/>
                <w:color w:val="17212B"/>
                <w:sz w:val="21"/>
              </w:rPr>
              <w:t>制作一张横向剖面式设定图，同时展示五种饮食分区和跨高度通行。重点不是菜单名称，而是灶台高度、储存方式、气味隔离、用餐姿态与不同物种对公共空间的共同改造。</w:t>
            </w:r>
          </w:p>
        </w:tc>
        <w:trPr>
          <w:tblHeader/>
        </w:trPr>
      </w:tr>
    </w:tbl>
    <w:p>
      <w:pPr>
        <w:spacing w:before="80" w:after="200"/>
        <w:ind w:left="160"/>
        <w:jc w:val="left"/>
        <w:pageBreakBefore/>
        <w:shd w:fill="3F6C5D"/>
      </w:pPr>
      <w:r>
        <w:rPr>
          <w:rFonts w:ascii="Noto Sans CJK SC" w:hAnsi="Noto Sans CJK SC" w:eastAsia="Noto Sans CJK SC"/>
          <w:b/>
          <w:color w:val="FFFFFF"/>
          <w:sz w:val="32"/>
        </w:rPr>
        <w:t>兽山  /  原生尺度如何面对外部制度</w:t>
      </w:r>
    </w:p>
    <w:p>
      <w:pPr>
        <w:pStyle w:val="Heading1"/>
      </w:pPr>
      <w:r>
        <w:t>3.4 兽山的城市冲突界面</w:t>
      </w:r>
    </w:p>
    <w:tbl>
      <w:tblPr>
        <w:tblStyle w:val="TableGrid"/>
        <w:tblW w:type="dxa" w:w="9360"/>
        <w:jc w:val="center"/>
        <w:tblLayout w:type="fixed"/>
        <w:tblLook w:firstColumn="1" w:firstRow="1" w:lastColumn="0" w:lastRow="0" w:noHBand="0" w:noVBand="1" w:val="04A0"/>
        <w:tblInd w:w="120" w:type="dxa"/>
      </w:tblPr>
      <w:tblGrid>
        <w:gridCol w:w="2000"/>
        <w:gridCol w:w="5200"/>
        <w:gridCol w:w="2160"/>
      </w:tblGrid>
      <w:tr>
        <w:trPr>
          <w:tblHeader w:val="true"/>
          <w:cantSplit/>
        </w:trPr>
        <w:tc>
          <w:tcPr>
            <w:tcW w:type="dxa" w:w="20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冲突界面</w:t>
            </w:r>
          </w:p>
        </w:tc>
        <w:tc>
          <w:tcPr>
            <w:tcW w:type="dxa" w:w="52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可视化方式</w:t>
            </w:r>
          </w:p>
        </w:tc>
        <w:tc>
          <w:tcPr>
            <w:tcW w:type="dxa" w:w="216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当前状态</w:t>
            </w:r>
          </w:p>
        </w:tc>
      </w:tr>
      <w:tr>
        <w:trPr>
          <w:cantSplit/>
        </w:trPr>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原生神兽 / 高墙复制体</w:t>
            </w:r>
          </w:p>
        </w:tc>
        <w:tc>
          <w:tcPr>
            <w:tcW w:type="dxa" w:w="52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同一物种语言中，原生体有自主姿态与生活痕迹；复制体巨大、洁净、被舱体定义。</w:t>
            </w:r>
          </w:p>
        </w:tc>
        <w:tc>
          <w:tcPr>
            <w:tcW w:type="dxa" w:w="2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已确认。</w:t>
            </w:r>
          </w:p>
        </w:tc>
      </w:tr>
      <w:tr>
        <w:trPr>
          <w:cantSplit/>
        </w:trPr>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多物种空间 / 人类标准空间</w:t>
            </w:r>
          </w:p>
        </w:tc>
        <w:tc>
          <w:tcPr>
            <w:tcW w:type="dxa" w:w="52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兽山公共设施主动适配身体差异；高墙设施迫使兽人适应人类尺度。</w:t>
            </w:r>
          </w:p>
        </w:tc>
        <w:tc>
          <w:tcPr>
            <w:tcW w:type="dxa" w:w="2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已确认方向。</w:t>
            </w:r>
          </w:p>
        </w:tc>
      </w:tr>
      <w:tr>
        <w:trPr>
          <w:cantSplit/>
        </w:trPr>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自然山体 / 人工平台</w:t>
            </w:r>
          </w:p>
        </w:tc>
        <w:tc>
          <w:tcPr>
            <w:tcW w:type="dxa" w:w="52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不规则岩层、风化和生长，对照高墙几何切割与标准接口。</w:t>
            </w:r>
          </w:p>
        </w:tc>
        <w:tc>
          <w:tcPr>
            <w:tcW w:type="dxa" w:w="2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已确认方向。</w:t>
            </w:r>
          </w:p>
        </w:tc>
      </w:tr>
      <w:tr>
        <w:trPr>
          <w:cantSplit/>
        </w:trPr>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离开 / 归属</w:t>
            </w:r>
          </w:p>
        </w:tc>
        <w:tc>
          <w:tcPr>
            <w:tcW w:type="dxa" w:w="52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返乡者携带高墙材料、义体或裂口商品，形成局部混合，但主体建筑仍属兽山。</w:t>
            </w:r>
          </w:p>
        </w:tc>
        <w:tc>
          <w:tcPr>
            <w:tcW w:type="dxa" w:w="2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概念提案。</w:t>
            </w:r>
          </w:p>
        </w:tc>
      </w:tr>
      <w:tr>
        <w:trPr>
          <w:cantSplit/>
        </w:trPr>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传统 / 新技术</w:t>
            </w:r>
          </w:p>
        </w:tc>
        <w:tc>
          <w:tcPr>
            <w:tcW w:type="dxa" w:w="52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机械件可被重新包覆、编织或嵌入自然材料，而不是直接照搬高墙产品。</w:t>
            </w:r>
          </w:p>
        </w:tc>
        <w:tc>
          <w:tcPr>
            <w:tcW w:type="dxa" w:w="2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概念提案。</w:t>
            </w:r>
          </w:p>
        </w:tc>
      </w:tr>
      <w:tr>
        <w:trPr>
          <w:cantSplit/>
        </w:trPr>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内部权力</w:t>
            </w:r>
          </w:p>
        </w:tc>
        <w:tc>
          <w:tcPr>
            <w:tcW w:type="dxa" w:w="52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暂不设王座、议会或贵族区，等待治理结构确认。</w:t>
            </w:r>
          </w:p>
        </w:tc>
        <w:tc>
          <w:tcPr>
            <w:tcW w:type="dxa" w:w="2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待确认。</w:t>
            </w:r>
          </w:p>
        </w:tc>
      </w:tr>
    </w:tbl>
    <w:p>
      <w:pPr>
        <w:spacing w:before="80" w:after="200"/>
        <w:ind w:left="160"/>
        <w:jc w:val="left"/>
        <w:pageBreakBefore/>
        <w:shd w:fill="985B32"/>
      </w:pPr>
      <w:r>
        <w:rPr>
          <w:rFonts w:ascii="Noto Sans CJK SC" w:hAnsi="Noto Sans CJK SC" w:eastAsia="Noto Sans CJK SC"/>
          <w:b/>
          <w:color w:val="FFFFFF"/>
          <w:sz w:val="32"/>
        </w:rPr>
        <w:t>废机坟  /  纯机器人常住社会</w:t>
      </w:r>
    </w:p>
    <w:p>
      <w:pPr>
        <w:pStyle w:val="Heading1"/>
      </w:pPr>
      <w:r>
        <w:t>4. 废机坟：机器人建立的机械遗骸城市</w:t>
      </w:r>
    </w:p>
    <w:p>
      <w:pPr>
        <w:keepNext/>
        <w:spacing w:before="0" w:after="0"/>
        <w:jc w:val="center"/>
      </w:pPr>
      <w:r>
        <w:drawing>
          <wp:inline xmlns:a="http://schemas.openxmlformats.org/drawingml/2006/main" xmlns:pic="http://schemas.openxmlformats.org/drawingml/2006/picture">
            <wp:extent cx="5897880" cy="3319321"/>
            <wp:docPr id="51" name="Picture 51" descr="Image: image60.jpg"/>
            <wp:cNvGraphicFramePr>
              <a:graphicFrameLocks noChangeAspect="1"/>
            </wp:cNvGraphicFramePr>
            <a:graphic>
              <a:graphicData uri="http://schemas.openxmlformats.org/drawingml/2006/picture">
                <pic:pic>
                  <pic:nvPicPr>
                    <pic:cNvPr id="0" name="04_dumpcity_robot_graveyard_exterior(1).jpg"/>
                    <pic:cNvPicPr/>
                  </pic:nvPicPr>
                  <pic:blipFill>
                    <a:blip r:embed="rId70"/>
                    <a:stretch>
                      <a:fillRect/>
                    </a:stretch>
                  </pic:blipFill>
                  <pic:spPr>
                    <a:xfrm>
                      <a:off x="0" y="0"/>
                      <a:ext cx="5897880" cy="3319321"/>
                    </a:xfrm>
                    <a:prstGeom prst="rect"/>
                  </pic:spPr>
                </pic:pic>
              </a:graphicData>
            </a:graphic>
          </wp:inline>
        </w:drawing>
      </w:r>
    </w:p>
    <w:p>
      <w:pPr>
        <w:pStyle w:val="Smallnote"/>
        <w:keepNext w:val="0"/>
        <w:keepLines/>
        <w:spacing w:after="140"/>
        <w:jc w:val="center"/>
      </w:pPr>
      <w:r>
        <w:t>废机坟正式外景：报废机器人躯体堆成的机械尸山被聚落、吊臂、线路与维修节点包围，是城市地标、历史证据与社会组织中心。</w:t>
      </w:r>
    </w:p>
    <w:p>
      <w:pPr>
        <w:keepLines w:val="0"/>
      </w:pPr>
      <w:r>
        <w:rPr>
          <w:rFonts w:ascii="Noto Sans CJK SC" w:hAnsi="Noto Sans CJK SC" w:eastAsia="Noto Sans CJK SC"/>
        </w:rPr>
        <w:t>废机坟位于笼城最低处，是由被制造、使用、淘汰或报废的机器人重新建立的城市。这里的常住社会由机器人构成，不是高墙底层贫民区，也不是人机混居垃圾场。报废机器人躯体堆成的机械尸山是城市核心地标。</w:t>
      </w:r>
    </w:p>
    <w:tbl>
      <w:tblPr>
        <w:tblW w:type="dxa" w:w="9360"/>
        <w:jc w:val="center"/>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DCEAF0"/>
          </w:tcPr>
          <w:p>
            <w:pPr>
              <w:spacing w:after="0"/>
            </w:pPr>
            <w:r>
              <w:rPr>
                <w:rFonts w:ascii="Noto Sans CJK SC" w:hAnsi="Noto Sans CJK SC" w:eastAsia="Noto Sans CJK SC"/>
                <w:b/>
                <w:color w:val="244C66"/>
                <w:sz w:val="21"/>
              </w:rPr>
              <w:t xml:space="preserve">[已确认] 居民边界  </w:t>
            </w:r>
            <w:r>
              <w:rPr>
                <w:rFonts w:ascii="Noto Sans CJK SC" w:hAnsi="Noto Sans CJK SC" w:eastAsia="Noto Sans CJK SC"/>
                <w:b w:val="0"/>
                <w:color w:val="17212B"/>
                <w:sz w:val="21"/>
              </w:rPr>
              <w:t>废机坟常住人口是机器人。高墙底层人类、反抗组织、地下医疗者与人类拾荒者均属于高墙体系，不能再被误放进废机坟；临时跨区活动也不能用来证明废机坟存在非机器人常住社会。</w:t>
            </w:r>
          </w:p>
        </w:tc>
        <w:trPr>
          <w:tblHeader/>
        </w:trPr>
      </w:tr>
    </w:tbl>
    <w:p>
      <w:pPr>
        <w:spacing w:before="80" w:after="200"/>
        <w:ind w:left="160"/>
        <w:jc w:val="left"/>
        <w:pageBreakBefore/>
        <w:shd w:fill="985B32"/>
      </w:pPr>
      <w:r>
        <w:rPr>
          <w:rFonts w:ascii="Noto Sans CJK SC" w:hAnsi="Noto Sans CJK SC" w:eastAsia="Noto Sans CJK SC"/>
          <w:b/>
          <w:color w:val="FFFFFF"/>
          <w:sz w:val="32"/>
        </w:rPr>
        <w:t>废机坟  /  城市由遗骸长出来</w:t>
      </w:r>
    </w:p>
    <w:p>
      <w:pPr>
        <w:pStyle w:val="Heading1"/>
      </w:pPr>
      <w:r>
        <w:t>4.1 城市规划：尸山、空腔、街道、信号与地下线</w:t>
      </w:r>
    </w:p>
    <w:p>
      <w:pPr>
        <w:keepNext/>
        <w:spacing w:before="0" w:after="0"/>
        <w:jc w:val="center"/>
      </w:pPr>
      <w:r>
        <w:drawing>
          <wp:inline xmlns:a="http://schemas.openxmlformats.org/drawingml/2006/main" xmlns:pic="http://schemas.openxmlformats.org/drawingml/2006/picture">
            <wp:extent cx="5897880" cy="3319321"/>
            <wp:docPr id="52" name="Picture 52" descr="Image: image61.jpg"/>
            <wp:cNvGraphicFramePr>
              <a:graphicFrameLocks noChangeAspect="1"/>
            </wp:cNvGraphicFramePr>
            <a:graphic>
              <a:graphicData uri="http://schemas.openxmlformats.org/drawingml/2006/picture">
                <pic:pic>
                  <pic:nvPicPr>
                    <pic:cNvPr id="0" name="05_dumpcity_graveyard_interior_cavity(1).jpg"/>
                    <pic:cNvPicPr/>
                  </pic:nvPicPr>
                  <pic:blipFill>
                    <a:blip r:embed="rId71"/>
                    <a:stretch>
                      <a:fillRect/>
                    </a:stretch>
                  </pic:blipFill>
                  <pic:spPr>
                    <a:xfrm>
                      <a:off x="0" y="0"/>
                      <a:ext cx="5897880" cy="3319321"/>
                    </a:xfrm>
                    <a:prstGeom prst="rect"/>
                  </pic:spPr>
                </pic:pic>
              </a:graphicData>
            </a:graphic>
          </wp:inline>
        </w:drawing>
      </w:r>
    </w:p>
    <w:p>
      <w:pPr>
        <w:pStyle w:val="Smallnote"/>
        <w:keepNext w:val="0"/>
        <w:keepLines/>
        <w:spacing w:after="140"/>
        <w:jc w:val="center"/>
      </w:pPr>
      <w:r>
        <w:t>废机坟尸山内部空腔：报废机体、旧结构、垂落线缆、渗水地面和顶部光缝共同形成可通行、可拆解、可再利用的内部城市空间。</w:t>
      </w:r>
    </w:p>
    <w:tbl>
      <w:tblPr>
        <w:tblStyle w:val="TableGrid"/>
        <w:tblW w:type="dxa" w:w="9360"/>
        <w:jc w:val="center"/>
        <w:tblLayout w:type="fixed"/>
        <w:tblLook w:firstColumn="1" w:firstRow="1" w:lastColumn="0" w:lastRow="0" w:noHBand="0" w:noVBand="1" w:val="04A0"/>
        <w:tblInd w:w="120" w:type="dxa"/>
      </w:tblPr>
      <w:tblGrid>
        <w:gridCol w:w="1900"/>
        <w:gridCol w:w="3000"/>
        <w:gridCol w:w="4460"/>
      </w:tblGrid>
      <w:tr>
        <w:trPr>
          <w:tblHeader w:val="true"/>
          <w:cantSplit/>
        </w:trPr>
        <w:tc>
          <w:tcPr>
            <w:tcW w:type="dxa" w:w="19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城市节点</w:t>
            </w:r>
          </w:p>
        </w:tc>
        <w:tc>
          <w:tcPr>
            <w:tcW w:type="dxa" w:w="30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功能</w:t>
            </w:r>
          </w:p>
        </w:tc>
        <w:tc>
          <w:tcPr>
            <w:tcW w:type="dxa" w:w="446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视觉结构</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机械尸山</w:t>
            </w:r>
          </w:p>
        </w:tc>
        <w:tc>
          <w:tcPr>
            <w:tcW w:type="dxa" w:w="3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遗骸堆积、材料来源、城市记忆与地标。</w:t>
            </w:r>
          </w:p>
        </w:tc>
        <w:tc>
          <w:tcPr>
            <w:tcW w:type="dxa" w:w="44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巨大轮廓、层层肢体、轮组、骨架与外壳压实成山。</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山体空腔</w:t>
            </w:r>
          </w:p>
        </w:tc>
        <w:tc>
          <w:tcPr>
            <w:tcW w:type="dxa" w:w="3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拆解、维修、临时存储、居住与隐蔽通行。</w:t>
            </w:r>
          </w:p>
        </w:tc>
        <w:tc>
          <w:tcPr>
            <w:tcW w:type="dxa" w:w="44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低顶、吊轨、积水、旧灯、结构随遗骸形状变化。</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机器人街道</w:t>
            </w:r>
          </w:p>
        </w:tc>
        <w:tc>
          <w:tcPr>
            <w:tcW w:type="dxa" w:w="3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交易、充能、修理、零件交换和信息流动。</w:t>
            </w:r>
          </w:p>
        </w:tc>
        <w:tc>
          <w:tcPr>
            <w:tcW w:type="dxa" w:w="44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不同轮距、身高与机械臂范围共同决定街道宽度。</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信号塔 / 接收室</w:t>
            </w:r>
          </w:p>
        </w:tc>
        <w:tc>
          <w:tcPr>
            <w:tcW w:type="dxa" w:w="3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连接外部信号、身份同步与城市信息。</w:t>
            </w:r>
          </w:p>
        </w:tc>
        <w:tc>
          <w:tcPr>
            <w:tcW w:type="dxa" w:w="44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天线林、风噪、干扰光、旧显示屏与手工补线。</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分叉道路</w:t>
            </w:r>
          </w:p>
        </w:tc>
        <w:tc>
          <w:tcPr>
            <w:tcW w:type="dxa" w:w="3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按轮式、履带、步行、多足和大型搬运体分流。</w:t>
            </w:r>
          </w:p>
        </w:tc>
        <w:tc>
          <w:tcPr>
            <w:tcW w:type="dxa" w:w="44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路面不是人行道模板，而是接口化机械交通。</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废弃地下轨道</w:t>
            </w:r>
          </w:p>
        </w:tc>
        <w:tc>
          <w:tcPr>
            <w:tcW w:type="dxa" w:w="3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远距离搬运、旧城市遗产与深层通道。</w:t>
            </w:r>
          </w:p>
        </w:tc>
        <w:tc>
          <w:tcPr>
            <w:tcW w:type="dxa" w:w="44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封闭站台、重型轨道、积水、失效标识。</w:t>
            </w:r>
          </w:p>
        </w:tc>
      </w:tr>
    </w:tbl>
    <w:p>
      <w:pPr>
        <w:spacing w:before="80" w:after="200"/>
        <w:ind w:left="160"/>
        <w:jc w:val="left"/>
        <w:pageBreakBefore/>
        <w:shd w:fill="985B32"/>
      </w:pPr>
      <w:r>
        <w:rPr>
          <w:rFonts w:ascii="Noto Sans CJK SC" w:hAnsi="Noto Sans CJK SC" w:eastAsia="Noto Sans CJK SC"/>
          <w:b/>
          <w:color w:val="FFFFFF"/>
          <w:sz w:val="32"/>
        </w:rPr>
        <w:t>废机坟  /  避免恐怖谷，尊重功能差异</w:t>
      </w:r>
    </w:p>
    <w:p>
      <w:pPr>
        <w:pStyle w:val="Heading1"/>
      </w:pPr>
      <w:r>
        <w:t>4.2 机器人居民类型与身体语言</w:t>
      </w:r>
    </w:p>
    <w:p>
      <w:pPr>
        <w:keepNext/>
        <w:spacing w:before="40" w:after="60"/>
        <w:jc w:val="center"/>
      </w:pPr>
      <w:r>
        <w:drawing>
          <wp:inline xmlns:a="http://schemas.openxmlformats.org/drawingml/2006/main" xmlns:pic="http://schemas.openxmlformats.org/drawingml/2006/picture">
            <wp:extent cx="5943600" cy="3343275"/>
            <wp:docPr id="24" name="Picture 24" descr="Image: image22.jpg"/>
            <wp:cNvGraphicFramePr>
              <a:graphicFrameLocks noChangeAspect="1"/>
            </wp:cNvGraphicFramePr>
            <a:graphic>
              <a:graphicData uri="http://schemas.openxmlformats.org/drawingml/2006/picture">
                <pic:pic>
                  <pic:nvPicPr>
                    <pic:cNvPr id="0" name="废机坟机器人街景晨雨.png.jpg"/>
                    <pic:cNvPicPr/>
                  </pic:nvPicPr>
                  <pic:blipFill>
                    <a:blip r:embed="rId32"/>
                    <a:stretch>
                      <a:fillRect/>
                    </a:stretch>
                  </pic:blipFill>
                  <pic:spPr>
                    <a:xfrm>
                      <a:off x="0" y="0"/>
                      <a:ext cx="5943600" cy="3343275"/>
                    </a:xfrm>
                    <a:prstGeom prst="rect"/>
                  </pic:spPr>
                </pic:pic>
              </a:graphicData>
            </a:graphic>
          </wp:inline>
        </w:drawing>
      </w:r>
    </w:p>
    <w:p>
      <w:pPr>
        <w:pStyle w:val="Smallnote"/>
        <w:keepNext w:val="0"/>
        <w:spacing w:after="140"/>
        <w:jc w:val="center"/>
      </w:pPr>
      <w:r>
        <w:rPr>
          <w:rFonts w:ascii="Noto Sans CJK SC" w:hAnsi="Noto Sans CJK SC" w:eastAsia="Noto Sans CJK SC"/>
          <w:b w:val="0"/>
          <w:color w:val="66737E"/>
          <w:sz w:val="17"/>
        </w:rPr>
        <w:t>机器人街景资产：不同年代、用途和体型的机器人共同构成城市人群，不应复制人类街头的统一比例。</w:t>
      </w:r>
    </w:p>
    <w:tbl>
      <w:tblPr>
        <w:tblStyle w:val="TableGrid"/>
        <w:tblW w:type="dxa" w:w="9360"/>
        <w:jc w:val="center"/>
        <w:tblLayout w:type="fixed"/>
        <w:tblLook w:firstColumn="1" w:firstRow="1" w:lastColumn="0" w:lastRow="0" w:noHBand="0" w:noVBand="1" w:val="04A0"/>
        <w:tblInd w:w="120" w:type="dxa"/>
      </w:tblPr>
      <w:tblGrid>
        <w:gridCol w:w="2100"/>
        <w:gridCol w:w="4100"/>
        <w:gridCol w:w="3160"/>
      </w:tblGrid>
      <w:tr>
        <w:trPr>
          <w:tblHeader w:val="true"/>
          <w:cantSplit/>
        </w:trPr>
        <w:tc>
          <w:tcPr>
            <w:tcW w:type="dxa" w:w="21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类型</w:t>
            </w:r>
          </w:p>
        </w:tc>
        <w:tc>
          <w:tcPr>
            <w:tcW w:type="dxa" w:w="41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设计原则</w:t>
            </w:r>
          </w:p>
        </w:tc>
        <w:tc>
          <w:tcPr>
            <w:tcW w:type="dxa" w:w="316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城市位置与需求</w:t>
            </w:r>
          </w:p>
        </w:tc>
      </w:tr>
      <w:tr>
        <w:trPr>
          <w:cantSplit/>
        </w:trPr>
        <w:tc>
          <w:tcPr>
            <w:tcW w:type="dxa" w:w="2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工业机器人</w:t>
            </w:r>
          </w:p>
        </w:tc>
        <w:tc>
          <w:tcPr>
            <w:tcW w:type="dxa" w:w="4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保留吊装、焊接、搬运、切割等原始功能痕迹；重量感明确。</w:t>
            </w:r>
          </w:p>
        </w:tc>
        <w:tc>
          <w:tcPr>
            <w:tcW w:type="dxa" w:w="3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靠近拆解场、重型道路、吊轨与材料区。</w:t>
            </w:r>
          </w:p>
        </w:tc>
      </w:tr>
      <w:tr>
        <w:trPr>
          <w:cantSplit/>
        </w:trPr>
        <w:tc>
          <w:tcPr>
            <w:tcW w:type="dxa" w:w="2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情绪价值机器人</w:t>
            </w:r>
          </w:p>
        </w:tc>
        <w:tc>
          <w:tcPr>
            <w:tcW w:type="dxa" w:w="4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表情与姿态更细腻，但不等于人脸；可见旧服务时代的柔和设计。</w:t>
            </w:r>
          </w:p>
        </w:tc>
        <w:tc>
          <w:tcPr>
            <w:tcW w:type="dxa" w:w="3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陪伴、接待、社区互助与情绪劳动空间。</w:t>
            </w:r>
          </w:p>
        </w:tc>
      </w:tr>
      <w:tr>
        <w:trPr>
          <w:cantSplit/>
        </w:trPr>
        <w:tc>
          <w:tcPr>
            <w:tcW w:type="dxa" w:w="2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定制类人 / 性偶机器人</w:t>
            </w:r>
          </w:p>
        </w:tc>
        <w:tc>
          <w:tcPr>
            <w:tcW w:type="dxa" w:w="4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作为被人类审美塑造过的高定制机体，进入废机坟后出现身份与维护问题。</w:t>
            </w:r>
          </w:p>
        </w:tc>
        <w:tc>
          <w:tcPr>
            <w:tcW w:type="dxa" w:w="3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需要隐私、表皮修复、身份去商品化的空间。</w:t>
            </w:r>
          </w:p>
        </w:tc>
      </w:tr>
      <w:tr>
        <w:trPr>
          <w:cantSplit/>
        </w:trPr>
        <w:tc>
          <w:tcPr>
            <w:tcW w:type="dxa" w:w="2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通用人形机器人</w:t>
            </w:r>
          </w:p>
        </w:tc>
        <w:tc>
          <w:tcPr>
            <w:tcW w:type="dxa" w:w="4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禁止真实人脸；统一使用可显示表情的LED屏、黑玻璃面屏或明确机械面部。</w:t>
            </w:r>
          </w:p>
        </w:tc>
        <w:tc>
          <w:tcPr>
            <w:tcW w:type="dxa" w:w="3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适配大多数街道、工位和公共设施。</w:t>
            </w:r>
          </w:p>
        </w:tc>
      </w:tr>
      <w:tr>
        <w:trPr>
          <w:cantSplit/>
        </w:trPr>
        <w:tc>
          <w:tcPr>
            <w:tcW w:type="dxa" w:w="2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轮式与摩托型机器人</w:t>
            </w:r>
          </w:p>
        </w:tc>
        <w:tc>
          <w:tcPr>
            <w:tcW w:type="dxa" w:w="4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速度、刹车、轮距、坡度和转弯半径决定城市道路。</w:t>
            </w:r>
          </w:p>
        </w:tc>
        <w:tc>
          <w:tcPr>
            <w:tcW w:type="dxa" w:w="3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主干道、坡面、快递、巡检与远距搬运。</w:t>
            </w:r>
          </w:p>
        </w:tc>
      </w:tr>
      <w:tr>
        <w:trPr>
          <w:cantSplit/>
        </w:trPr>
        <w:tc>
          <w:tcPr>
            <w:tcW w:type="dxa" w:w="2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小型巡检机器人</w:t>
            </w:r>
          </w:p>
        </w:tc>
        <w:tc>
          <w:tcPr>
            <w:tcW w:type="dxa" w:w="4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用镜头、灯光、天线和声音形成性格，不强行人形化。</w:t>
            </w:r>
          </w:p>
        </w:tc>
        <w:tc>
          <w:tcPr>
            <w:tcW w:type="dxa" w:w="3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管道、缝隙、货架、信号塔和高处结构。</w:t>
            </w:r>
          </w:p>
        </w:tc>
      </w:tr>
      <w:tr>
        <w:trPr>
          <w:cantSplit/>
        </w:trPr>
        <w:tc>
          <w:tcPr>
            <w:tcW w:type="dxa" w:w="2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大型专用机械</w:t>
            </w:r>
          </w:p>
        </w:tc>
        <w:tc>
          <w:tcPr>
            <w:tcW w:type="dxa" w:w="4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保持非人形，按真实功能决定尺寸。</w:t>
            </w:r>
          </w:p>
        </w:tc>
        <w:tc>
          <w:tcPr>
            <w:tcW w:type="dxa" w:w="3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外围倾卸、山体压实、起重和危险区作业。</w:t>
            </w:r>
          </w:p>
        </w:tc>
      </w:tr>
    </w:tbl>
    <w:p>
      <w:pPr>
        <w:spacing w:after="40"/>
      </w:pPr>
    </w:p>
    <w:tbl>
      <w:tblPr>
        <w:tblW w:type="dxa" w:w="9360"/>
        <w:jc w:val="center"/>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DDEBDD"/>
          </w:tcPr>
          <w:p>
            <w:pPr>
              <w:spacing w:after="0"/>
            </w:pPr>
            <w:r>
              <w:rPr>
                <w:rFonts w:ascii="Noto Sans CJK SC" w:hAnsi="Noto Sans CJK SC" w:eastAsia="Noto Sans CJK SC"/>
                <w:b/>
                <w:color w:val="244C66"/>
                <w:sz w:val="21"/>
              </w:rPr>
              <w:t xml:space="preserve">[生产锁定] 通用人形机器人的脸  </w:t>
            </w:r>
            <w:r>
              <w:rPr>
                <w:rFonts w:ascii="Noto Sans CJK SC" w:hAnsi="Noto Sans CJK SC" w:eastAsia="Noto Sans CJK SC"/>
                <w:b w:val="0"/>
                <w:color w:val="17212B"/>
                <w:sz w:val="21"/>
              </w:rPr>
              <w:t>废机坟通用人形机器人不要真实人脸，避免恐怖谷；脸部使用可显示表情的LED屏或黑色玻璃面屏。高墙里高端定制合成人可更接近人类，但必须与废机坟普通机体区分。</w:t>
            </w:r>
          </w:p>
        </w:tc>
        <w:trPr>
          <w:tblHeader/>
        </w:trPr>
      </w:tr>
    </w:tbl>
    <w:p>
      <w:pPr>
        <w:spacing w:before="80" w:after="200"/>
        <w:ind w:left="160"/>
        <w:jc w:val="left"/>
        <w:pageBreakBefore/>
        <w:shd w:fill="985B32"/>
      </w:pPr>
      <w:r>
        <w:rPr>
          <w:rFonts w:ascii="Noto Sans CJK SC" w:hAnsi="Noto Sans CJK SC" w:eastAsia="Noto Sans CJK SC"/>
          <w:b/>
          <w:color w:val="FFFFFF"/>
          <w:sz w:val="32"/>
        </w:rPr>
        <w:t>废机坟  /  不照搬人类资产阶级模板</w:t>
      </w:r>
    </w:p>
    <w:p>
      <w:pPr>
        <w:pStyle w:val="Heading1"/>
      </w:pPr>
      <w:r>
        <w:t>4.3 社会位置、资源与“机械阶层”</w:t>
      </w:r>
    </w:p>
    <w:p>
      <w:pPr>
        <w:keepLines w:val="0"/>
      </w:pPr>
      <w:r>
        <w:rPr>
          <w:rFonts w:ascii="Noto Sans CJK SC" w:hAnsi="Noto Sans CJK SC" w:eastAsia="Noto Sans CJK SC"/>
        </w:rPr>
        <w:t>废机坟已经确认是机器人社会，但正式政体与财富制度尚未锁定。美术上可以先用“能源、零件、维修、信号和兼容性”的差异制造社会层次，而不是直接复制高墙里的资本阶级。以下为可视化概念提案。</w:t>
      </w:r>
    </w:p>
    <w:tbl>
      <w:tblPr>
        <w:tblStyle w:val="TableGrid"/>
        <w:tblW w:type="dxa" w:w="9360"/>
        <w:jc w:val="center"/>
        <w:tblLayout w:type="fixed"/>
        <w:tblLook w:firstColumn="1" w:firstRow="1" w:lastColumn="0" w:lastRow="0" w:noHBand="0" w:noVBand="1" w:val="04A0"/>
        <w:tblInd w:w="120" w:type="dxa"/>
      </w:tblPr>
      <w:tblGrid>
        <w:gridCol w:w="2300"/>
        <w:gridCol w:w="2800"/>
        <w:gridCol w:w="4260"/>
      </w:tblGrid>
      <w:tr>
        <w:trPr>
          <w:tblHeader w:val="true"/>
          <w:cantSplit/>
        </w:trPr>
        <w:tc>
          <w:tcPr>
            <w:tcW w:type="dxa" w:w="23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社会位置（概念）</w:t>
            </w:r>
          </w:p>
        </w:tc>
        <w:tc>
          <w:tcPr>
            <w:tcW w:type="dxa" w:w="28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稀缺资源</w:t>
            </w:r>
          </w:p>
        </w:tc>
        <w:tc>
          <w:tcPr>
            <w:tcW w:type="dxa" w:w="426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视觉与空间表现</w:t>
            </w:r>
          </w:p>
        </w:tc>
      </w:tr>
      <w:tr>
        <w:trPr>
          <w:cantSplit/>
        </w:trPr>
        <w:tc>
          <w:tcPr>
            <w:tcW w:type="dxa" w:w="23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稳定供能者</w:t>
            </w:r>
          </w:p>
        </w:tc>
        <w:tc>
          <w:tcPr>
            <w:tcW w:type="dxa" w:w="2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持续电力、充能口与备用电池。</w:t>
            </w:r>
          </w:p>
        </w:tc>
        <w:tc>
          <w:tcPr>
            <w:tcW w:type="dxa" w:w="42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常亮面屏、完整关节、靠近供能节点的固定空间。</w:t>
            </w:r>
          </w:p>
        </w:tc>
      </w:tr>
      <w:tr>
        <w:trPr>
          <w:cantSplit/>
        </w:trPr>
        <w:tc>
          <w:tcPr>
            <w:tcW w:type="dxa" w:w="23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维修与接口掌握者</w:t>
            </w:r>
          </w:p>
        </w:tc>
        <w:tc>
          <w:tcPr>
            <w:tcW w:type="dxa" w:w="2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工具、兼容知识、焊接与拆装能力。</w:t>
            </w:r>
          </w:p>
        </w:tc>
        <w:tc>
          <w:tcPr>
            <w:tcW w:type="dxa" w:w="42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工作台、登记终端、零件墙和排队等待区。</w:t>
            </w:r>
          </w:p>
        </w:tc>
      </w:tr>
      <w:tr>
        <w:trPr>
          <w:cantSplit/>
        </w:trPr>
        <w:tc>
          <w:tcPr>
            <w:tcW w:type="dxa" w:w="23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信号与信息节点</w:t>
            </w:r>
          </w:p>
        </w:tc>
        <w:tc>
          <w:tcPr>
            <w:tcW w:type="dxa" w:w="2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外部信号、导航、记录与广播。</w:t>
            </w:r>
          </w:p>
        </w:tc>
        <w:tc>
          <w:tcPr>
            <w:tcW w:type="dxa" w:w="42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天线、数据线、干扰屏、被多方依赖的高处位置。</w:t>
            </w:r>
          </w:p>
        </w:tc>
      </w:tr>
      <w:tr>
        <w:trPr>
          <w:cantSplit/>
        </w:trPr>
        <w:tc>
          <w:tcPr>
            <w:tcW w:type="dxa" w:w="23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重型劳动体</w:t>
            </w:r>
          </w:p>
        </w:tc>
        <w:tc>
          <w:tcPr>
            <w:tcW w:type="dxa" w:w="2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载重能力、耐久结构与大型替换件。</w:t>
            </w:r>
          </w:p>
        </w:tc>
        <w:tc>
          <w:tcPr>
            <w:tcW w:type="dxa" w:w="42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宽路、吊架、磨损和多人协作维修。</w:t>
            </w:r>
          </w:p>
        </w:tc>
      </w:tr>
      <w:tr>
        <w:trPr>
          <w:cantSplit/>
        </w:trPr>
        <w:tc>
          <w:tcPr>
            <w:tcW w:type="dxa" w:w="23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旧型号 / 低兼容机体</w:t>
            </w:r>
          </w:p>
        </w:tc>
        <w:tc>
          <w:tcPr>
            <w:tcW w:type="dxa" w:w="2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停产零件、过时接口、有限软件支持。</w:t>
            </w:r>
          </w:p>
        </w:tc>
        <w:tc>
          <w:tcPr>
            <w:tcW w:type="dxa" w:w="42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转接器、拼接关节、低亮度与反复补丁。</w:t>
            </w:r>
          </w:p>
        </w:tc>
      </w:tr>
      <w:tr>
        <w:trPr>
          <w:cantSplit/>
        </w:trPr>
        <w:tc>
          <w:tcPr>
            <w:tcW w:type="dxa" w:w="23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无脸 / 无声 / 低感知机体</w:t>
            </w:r>
          </w:p>
        </w:tc>
        <w:tc>
          <w:tcPr>
            <w:tcW w:type="dxa" w:w="2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摄像、面屏、语音或人格表达模块。</w:t>
            </w:r>
          </w:p>
        </w:tc>
        <w:tc>
          <w:tcPr>
            <w:tcW w:type="dxa" w:w="42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通过灯光、身体姿态和外接设备维持交流。</w:t>
            </w:r>
          </w:p>
        </w:tc>
      </w:tr>
      <w:tr>
        <w:trPr>
          <w:cantSplit/>
        </w:trPr>
        <w:tc>
          <w:tcPr>
            <w:tcW w:type="dxa" w:w="23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回用等待体</w:t>
            </w:r>
          </w:p>
        </w:tc>
        <w:tc>
          <w:tcPr>
            <w:tcW w:type="dxa" w:w="2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决定零件继续服务谁的规则与登记。</w:t>
            </w:r>
          </w:p>
        </w:tc>
        <w:tc>
          <w:tcPr>
            <w:tcW w:type="dxa" w:w="42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编号托盘、拆解台、回用终端与安静等待区。</w:t>
            </w:r>
          </w:p>
        </w:tc>
      </w:tr>
    </w:tbl>
    <w:p>
      <w:pPr>
        <w:spacing w:after="40"/>
      </w:pPr>
    </w:p>
    <w:tbl>
      <w:tblPr>
        <w:tblW w:type="dxa" w:w="9360"/>
        <w:jc w:val="center"/>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F2DDDD"/>
          </w:tcPr>
          <w:p>
            <w:pPr>
              <w:spacing w:after="0"/>
            </w:pPr>
            <w:r>
              <w:rPr>
                <w:rFonts w:ascii="Noto Sans CJK SC" w:hAnsi="Noto Sans CJK SC" w:eastAsia="Noto Sans CJK SC"/>
                <w:b/>
                <w:color w:val="244C66"/>
                <w:sz w:val="21"/>
              </w:rPr>
              <w:t xml:space="preserve">[待确认] 正式制度  </w:t>
            </w:r>
            <w:r>
              <w:rPr>
                <w:rFonts w:ascii="Noto Sans CJK SC" w:hAnsi="Noto Sans CJK SC" w:eastAsia="Noto Sans CJK SC"/>
                <w:b w:val="0"/>
                <w:color w:val="17212B"/>
                <w:sz w:val="21"/>
              </w:rPr>
              <w:t>废机坟的统治机构、货币、产权、回用授权、死亡判定、人格备份与能源收费规则尚未正式确认。现有短片资产中出现的回用流程可作为空间与道具参考，但在正式规则确认前不扩张成完整法律体系。</w:t>
            </w:r>
          </w:p>
        </w:tc>
        <w:trPr>
          <w:tblHeader/>
        </w:trPr>
      </w:tr>
    </w:tbl>
    <w:p>
      <w:pPr>
        <w:spacing w:before="80" w:after="200"/>
        <w:ind w:left="160"/>
        <w:jc w:val="left"/>
        <w:pageBreakBefore/>
        <w:shd w:fill="985B32"/>
      </w:pPr>
      <w:r>
        <w:rPr>
          <w:rFonts w:ascii="Noto Sans CJK SC" w:hAnsi="Noto Sans CJK SC" w:eastAsia="Noto Sans CJK SC"/>
          <w:b/>
          <w:color w:val="FFFFFF"/>
          <w:sz w:val="32"/>
        </w:rPr>
        <w:t>废机坟  /  城市必须服务不同机械身体</w:t>
      </w:r>
    </w:p>
    <w:p>
      <w:pPr>
        <w:pStyle w:val="Heading1"/>
      </w:pPr>
      <w:r>
        <w:t>4.4 商业、居住、交通与公共设施</w:t>
      </w:r>
    </w:p>
    <w:tbl>
      <w:tblPr>
        <w:tblStyle w:val="TableGrid"/>
        <w:tblW w:type="dxa" w:w="9360"/>
        <w:jc w:val="center"/>
        <w:tblLayout w:type="fixed"/>
        <w:tblLook w:firstColumn="1" w:firstRow="1" w:lastColumn="0" w:lastRow="0" w:noHBand="0" w:noVBand="1" w:val="04A0"/>
        <w:tblInd w:w="120" w:type="dxa"/>
      </w:tblPr>
      <w:tblGrid>
        <w:gridCol w:w="2050"/>
        <w:gridCol w:w="7310"/>
      </w:tblGrid>
      <w:tr>
        <w:trPr>
          <w:tblHeader w:val="true"/>
          <w:cantSplit/>
        </w:trPr>
        <w:tc>
          <w:tcPr>
            <w:tcW w:type="dxa" w:w="205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系统</w:t>
            </w:r>
          </w:p>
        </w:tc>
        <w:tc>
          <w:tcPr>
            <w:tcW w:type="dxa" w:w="731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概念设计</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居住</w:t>
            </w:r>
          </w:p>
        </w:tc>
        <w:tc>
          <w:tcPr>
            <w:tcW w:type="dxa" w:w="7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不以床和厨房为默认核心；根据充能姿态、散热、折叠、吊挂、休眠和备件储存组织空间。</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商铺</w:t>
            </w:r>
          </w:p>
        </w:tc>
        <w:tc>
          <w:tcPr>
            <w:tcW w:type="dxa" w:w="7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售卖或交换零件、线缆、适配器、旧软件、面屏贴片、润滑剂、外壳与传感器。</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维修</w:t>
            </w:r>
          </w:p>
        </w:tc>
        <w:tc>
          <w:tcPr>
            <w:tcW w:type="dxa" w:w="7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从街边快修到重型拆装；工作台高度、吊架和隔离区按机体重量分级。</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供能</w:t>
            </w:r>
          </w:p>
        </w:tc>
        <w:tc>
          <w:tcPr>
            <w:tcW w:type="dxa" w:w="7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充电、换电、慢充休眠和应急搭线并存；灯光状态直接影响街景情绪。</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交通</w:t>
            </w:r>
          </w:p>
        </w:tc>
        <w:tc>
          <w:tcPr>
            <w:tcW w:type="dxa" w:w="7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路面按轮径、履带、多足、飞行小机和大型搬运体分流；坡度与转弯半径是核心。</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信息</w:t>
            </w:r>
          </w:p>
        </w:tc>
        <w:tc>
          <w:tcPr>
            <w:tcW w:type="dxa" w:w="7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信号塔、广播、接收室、面屏公告和本地线缆网络共同工作。</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纪念 / 遗骸</w:t>
            </w:r>
          </w:p>
        </w:tc>
        <w:tc>
          <w:tcPr>
            <w:tcW w:type="dxa" w:w="7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机械尸山既不是单纯垃圾，也不是人类墓园复制；它同时承担材料、历史和身份问题。</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地下空间</w:t>
            </w:r>
          </w:p>
        </w:tc>
        <w:tc>
          <w:tcPr>
            <w:tcW w:type="dxa" w:w="7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废弃轨道、旧仓、雨水空腔和维修隧道形成第二交通层。</w:t>
            </w:r>
          </w:p>
        </w:tc>
      </w:tr>
    </w:tbl>
    <w:p>
      <w:pPr>
        <w:spacing w:after="40"/>
      </w:pPr>
    </w:p>
    <w:tbl>
      <w:tblPr>
        <w:tblW w:type="dxa" w:w="9360"/>
        <w:jc w:val="center"/>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F3E9D3"/>
          </w:tcPr>
          <w:p>
            <w:pPr>
              <w:spacing w:after="0"/>
            </w:pPr>
            <w:r>
              <w:rPr>
                <w:rFonts w:ascii="Noto Sans CJK SC" w:hAnsi="Noto Sans CJK SC" w:eastAsia="Noto Sans CJK SC"/>
                <w:b/>
                <w:color w:val="244C66"/>
                <w:sz w:val="21"/>
              </w:rPr>
              <w:t xml:space="preserve">[概念提案] 声景与气味  </w:t>
            </w:r>
            <w:r>
              <w:rPr>
                <w:rFonts w:ascii="Noto Sans CJK SC" w:hAnsi="Noto Sans CJK SC" w:eastAsia="Noto Sans CJK SC"/>
                <w:b w:val="0"/>
                <w:color w:val="17212B"/>
                <w:sz w:val="21"/>
              </w:rPr>
              <w:t>废机坟可由电机频率、雨打金属、吊链、广播失真、风穿天线与焊接爆鸣构成声景；气味以机油、臭氧、湿锈、旧绝缘层和热金属为主。</w:t>
            </w:r>
          </w:p>
        </w:tc>
        <w:trPr>
          <w:tblHeader/>
        </w:trPr>
      </w:tr>
    </w:tbl>
    <w:p>
      <w:pPr>
        <w:spacing w:before="80" w:after="200"/>
        <w:ind w:left="160"/>
        <w:jc w:val="left"/>
        <w:pageBreakBefore/>
        <w:shd w:fill="985B32"/>
      </w:pPr>
      <w:r>
        <w:rPr>
          <w:rFonts w:ascii="Noto Sans CJK SC" w:hAnsi="Noto Sans CJK SC" w:eastAsia="Noto Sans CJK SC"/>
          <w:b/>
          <w:color w:val="FFFFFF"/>
          <w:sz w:val="32"/>
        </w:rPr>
        <w:t>废机坟  /  身体、记忆、资源与兼容性</w:t>
      </w:r>
    </w:p>
    <w:p>
      <w:pPr>
        <w:pStyle w:val="Heading1"/>
      </w:pPr>
      <w:r>
        <w:t>4.5 废机坟的城市冲突界面</w:t>
      </w:r>
    </w:p>
    <w:tbl>
      <w:tblPr>
        <w:tblStyle w:val="TableGrid"/>
        <w:tblW w:type="dxa" w:w="9360"/>
        <w:jc w:val="center"/>
        <w:tblLayout w:type="fixed"/>
        <w:tblLook w:firstColumn="1" w:firstRow="1" w:lastColumn="0" w:lastRow="0" w:noHBand="0" w:noVBand="1" w:val="04A0"/>
        <w:tblInd w:w="120" w:type="dxa"/>
      </w:tblPr>
      <w:tblGrid>
        <w:gridCol w:w="2100"/>
        <w:gridCol w:w="5100"/>
        <w:gridCol w:w="2160"/>
      </w:tblGrid>
      <w:tr>
        <w:trPr>
          <w:tblHeader w:val="true"/>
          <w:cantSplit/>
        </w:trPr>
        <w:tc>
          <w:tcPr>
            <w:tcW w:type="dxa" w:w="21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冲突界面</w:t>
            </w:r>
          </w:p>
        </w:tc>
        <w:tc>
          <w:tcPr>
            <w:tcW w:type="dxa" w:w="51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美术表达</w:t>
            </w:r>
          </w:p>
        </w:tc>
        <w:tc>
          <w:tcPr>
            <w:tcW w:type="dxa" w:w="216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状态</w:t>
            </w:r>
          </w:p>
        </w:tc>
      </w:tr>
      <w:tr>
        <w:trPr>
          <w:cantSplit/>
        </w:trPr>
        <w:tc>
          <w:tcPr>
            <w:tcW w:type="dxa" w:w="2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功能 / 自我</w:t>
            </w:r>
          </w:p>
        </w:tc>
        <w:tc>
          <w:tcPr>
            <w:tcW w:type="dxa" w:w="5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原厂用途编号、工具结构与后来获得的服饰、表情和自选配件叠加。</w:t>
            </w:r>
          </w:p>
        </w:tc>
        <w:tc>
          <w:tcPr>
            <w:tcW w:type="dxa" w:w="2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已确认母题。</w:t>
            </w:r>
          </w:p>
        </w:tc>
      </w:tr>
      <w:tr>
        <w:trPr>
          <w:cantSplit/>
        </w:trPr>
        <w:tc>
          <w:tcPr>
            <w:tcW w:type="dxa" w:w="2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完整 / 回用</w:t>
            </w:r>
          </w:p>
        </w:tc>
        <w:tc>
          <w:tcPr>
            <w:tcW w:type="dxa" w:w="5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完整外壳对照拆解台、登记托盘和他者身上的继承部件。</w:t>
            </w:r>
          </w:p>
        </w:tc>
        <w:tc>
          <w:tcPr>
            <w:tcW w:type="dxa" w:w="2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生产资产已存在；制度待确认。</w:t>
            </w:r>
          </w:p>
        </w:tc>
      </w:tr>
      <w:tr>
        <w:trPr>
          <w:cantSplit/>
        </w:trPr>
        <w:tc>
          <w:tcPr>
            <w:tcW w:type="dxa" w:w="2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新型号 / 旧型号</w:t>
            </w:r>
          </w:p>
        </w:tc>
        <w:tc>
          <w:tcPr>
            <w:tcW w:type="dxa" w:w="5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标准接口对照层层转接、手焊线束和停产件。</w:t>
            </w:r>
          </w:p>
        </w:tc>
        <w:tc>
          <w:tcPr>
            <w:tcW w:type="dxa" w:w="2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概念提案。</w:t>
            </w:r>
          </w:p>
        </w:tc>
      </w:tr>
      <w:tr>
        <w:trPr>
          <w:cantSplit/>
        </w:trPr>
        <w:tc>
          <w:tcPr>
            <w:tcW w:type="dxa" w:w="2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供能稳定 / 供能不足</w:t>
            </w:r>
          </w:p>
        </w:tc>
        <w:tc>
          <w:tcPr>
            <w:tcW w:type="dxa" w:w="5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亮度、步态、声音和街区照明直接呈现资源差异。</w:t>
            </w:r>
          </w:p>
        </w:tc>
        <w:tc>
          <w:tcPr>
            <w:tcW w:type="dxa" w:w="2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概念提案。</w:t>
            </w:r>
          </w:p>
        </w:tc>
      </w:tr>
      <w:tr>
        <w:trPr>
          <w:cantSplit/>
        </w:trPr>
        <w:tc>
          <w:tcPr>
            <w:tcW w:type="dxa" w:w="2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高墙产品 / 废机坟再生</w:t>
            </w:r>
          </w:p>
        </w:tc>
        <w:tc>
          <w:tcPr>
            <w:tcW w:type="dxa" w:w="5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高墙产品表皮完整、身份明确；废机坟机体可见修补、混装和自主命名。</w:t>
            </w:r>
          </w:p>
        </w:tc>
        <w:tc>
          <w:tcPr>
            <w:tcW w:type="dxa" w:w="2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已确认方向。</w:t>
            </w:r>
          </w:p>
        </w:tc>
      </w:tr>
      <w:tr>
        <w:trPr>
          <w:cantSplit/>
        </w:trPr>
        <w:tc>
          <w:tcPr>
            <w:tcW w:type="dxa" w:w="2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机器人城市 / 人类城市模板</w:t>
            </w:r>
          </w:p>
        </w:tc>
        <w:tc>
          <w:tcPr>
            <w:tcW w:type="dxa" w:w="5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设施按机械身体设计，不复刻人类卧室、咖啡馆与人行道。</w:t>
            </w:r>
          </w:p>
        </w:tc>
        <w:tc>
          <w:tcPr>
            <w:tcW w:type="dxa" w:w="2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生产原则。</w:t>
            </w:r>
          </w:p>
        </w:tc>
      </w:tr>
    </w:tbl>
    <w:p>
      <w:pPr>
        <w:spacing w:before="80" w:after="200"/>
        <w:ind w:left="160"/>
        <w:jc w:val="left"/>
        <w:pageBreakBefore/>
        <w:shd w:fill="7C5B7E"/>
      </w:pPr>
      <w:r>
        <w:rPr>
          <w:rFonts w:ascii="Noto Sans CJK SC" w:hAnsi="Noto Sans CJK SC" w:eastAsia="Noto Sans CJK SC"/>
          <w:b/>
          <w:color w:val="FFFFFF"/>
          <w:sz w:val="32"/>
        </w:rPr>
        <w:t>裂口  /  宽阔、不规则、持续变形</w:t>
      </w:r>
    </w:p>
    <w:p>
      <w:pPr>
        <w:pStyle w:val="Heading1"/>
      </w:pPr>
      <w:r>
        <w:t>5. 裂口：三套制度共同暴露漏洞的共享边界</w:t>
      </w:r>
    </w:p>
    <w:p>
      <w:pPr>
        <w:keepNext/>
        <w:spacing w:before="0" w:after="0"/>
        <w:jc w:val="center"/>
      </w:pPr>
      <w:r>
        <w:drawing>
          <wp:inline xmlns:a="http://schemas.openxmlformats.org/drawingml/2006/main" xmlns:pic="http://schemas.openxmlformats.org/drawingml/2006/picture">
            <wp:extent cx="5897880" cy="3319321"/>
            <wp:docPr id="53" name="Picture 53" descr="Image: image48.jpg"/>
            <wp:cNvGraphicFramePr>
              <a:graphicFrameLocks noChangeAspect="1"/>
            </wp:cNvGraphicFramePr>
            <a:graphic>
              <a:graphicData uri="http://schemas.openxmlformats.org/drawingml/2006/picture">
                <pic:pic>
                  <pic:nvPicPr>
                    <pic:cNvPr id="0" name="裂口大全景.jpg"/>
                    <pic:cNvPicPr/>
                  </pic:nvPicPr>
                  <pic:blipFill>
                    <a:blip r:embed="rId58"/>
                    <a:stretch>
                      <a:fillRect/>
                    </a:stretch>
                  </pic:blipFill>
                  <pic:spPr>
                    <a:xfrm>
                      <a:off x="0" y="0"/>
                      <a:ext cx="5897880" cy="3319321"/>
                    </a:xfrm>
                    <a:prstGeom prst="rect"/>
                  </pic:spPr>
                </pic:pic>
              </a:graphicData>
            </a:graphic>
          </wp:inline>
        </w:drawing>
      </w:r>
    </w:p>
    <w:p>
      <w:pPr>
        <w:pStyle w:val="Smallnote"/>
        <w:keepNext w:val="0"/>
        <w:keepLines/>
        <w:spacing w:after="140"/>
        <w:jc w:val="center"/>
      </w:pPr>
      <w:r>
        <w:t>裂口正式大全景：水域、桥网、市场、兽山山体、高墙外壁与废机坟机械尸山在同一空间相互挤压，清楚证明它是共享边界而非第四座城。</w:t>
      </w:r>
    </w:p>
    <w:p>
      <w:pPr>
        <w:keepLines w:val="0"/>
      </w:pPr>
      <w:r>
        <w:rPr>
          <w:rFonts w:ascii="Noto Sans CJK SC" w:hAnsi="Noto Sans CJK SC" w:eastAsia="Noto Sans CJK SC"/>
        </w:rPr>
        <w:t>裂口位于高墙里、兽山与废机坟相互挤压的共同边界。这里有水系、旧桥、夜市、黑市、酒馆、车站、走私路线与流动人口。它不是第四座城，而是三套制度无法完全覆盖时形成的临时秩序。</w:t>
      </w:r>
    </w:p>
    <w:tbl>
      <w:tblPr>
        <w:tblStyle w:val="TableGrid"/>
        <w:tblW w:type="dxa" w:w="9360"/>
        <w:jc w:val="center"/>
        <w:tblLayout w:type="fixed"/>
        <w:tblLook w:firstColumn="1" w:firstRow="1" w:lastColumn="0" w:lastRow="0" w:noHBand="0" w:noVBand="1" w:val="04A0"/>
        <w:tblInd w:w="120" w:type="dxa"/>
      </w:tblPr>
      <w:tblGrid>
        <w:gridCol w:w="1900"/>
        <w:gridCol w:w="3400"/>
        <w:gridCol w:w="4060"/>
      </w:tblGrid>
      <w:tr>
        <w:trPr>
          <w:tblHeader w:val="true"/>
          <w:cantSplit/>
        </w:trPr>
        <w:tc>
          <w:tcPr>
            <w:tcW w:type="dxa" w:w="19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空间层</w:t>
            </w:r>
          </w:p>
        </w:tc>
        <w:tc>
          <w:tcPr>
            <w:tcW w:type="dxa" w:w="34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主要功能</w:t>
            </w:r>
          </w:p>
        </w:tc>
        <w:tc>
          <w:tcPr>
            <w:tcW w:type="dxa" w:w="406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视觉形态</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水面与码头</w:t>
            </w:r>
          </w:p>
        </w:tc>
        <w:tc>
          <w:tcPr>
            <w:tcW w:type="dxa" w:w="34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短程运输、货物转手、隐藏路线与生活用水边界。</w:t>
            </w:r>
          </w:p>
        </w:tc>
        <w:tc>
          <w:tcPr>
            <w:tcW w:type="dxa" w:w="40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旧桩、浮台、低桥、反光水面与杂色灯。</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主交易带</w:t>
            </w:r>
          </w:p>
        </w:tc>
        <w:tc>
          <w:tcPr>
            <w:tcW w:type="dxa" w:w="34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夜市、公开交易、餐饮、维修与信息交换。</w:t>
            </w:r>
          </w:p>
        </w:tc>
        <w:tc>
          <w:tcPr>
            <w:tcW w:type="dxa" w:w="40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连续棚布、摊灯、招牌、密集人流与多尺度通行。</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黑市后巷</w:t>
            </w:r>
          </w:p>
        </w:tc>
        <w:tc>
          <w:tcPr>
            <w:tcW w:type="dxa" w:w="34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非法接口、走私、身份与稀缺品交易。</w:t>
            </w:r>
          </w:p>
        </w:tc>
        <w:tc>
          <w:tcPr>
            <w:tcW w:type="dxa" w:w="40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狭窄转折、临时门禁、暗光与可快速撤离的结构。</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九尾酒馆</w:t>
            </w:r>
          </w:p>
        </w:tc>
        <w:tc>
          <w:tcPr>
            <w:tcW w:type="dxa" w:w="34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谈判、观察、中介与跨势力接触。</w:t>
            </w:r>
          </w:p>
        </w:tc>
        <w:tc>
          <w:tcPr>
            <w:tcW w:type="dxa" w:w="40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高低层视线、半私密席位、暖光与外部冷色对照。</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车站与换乘区</w:t>
            </w:r>
          </w:p>
        </w:tc>
        <w:tc>
          <w:tcPr>
            <w:tcW w:type="dxa" w:w="34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跨区人员、货物和机器人交通转换。</w:t>
            </w:r>
          </w:p>
        </w:tc>
        <w:tc>
          <w:tcPr>
            <w:tcW w:type="dxa" w:w="40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旧轨、临时检票、行李/货物堆、不同尺寸入口。</w:t>
            </w:r>
          </w:p>
        </w:tc>
      </w:tr>
      <w:tr>
        <w:trPr>
          <w:cantSplit/>
        </w:trPr>
        <w:tc>
          <w:tcPr>
            <w:tcW w:type="dxa" w:w="1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高处与空中路线</w:t>
            </w:r>
          </w:p>
        </w:tc>
        <w:tc>
          <w:tcPr>
            <w:tcW w:type="dxa" w:w="34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观察、掠夺、快速穿越与翼兽活动。</w:t>
            </w:r>
          </w:p>
        </w:tc>
        <w:tc>
          <w:tcPr>
            <w:tcW w:type="dxa" w:w="40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吊桥、屋顶、滑索、起降点与远眺视线。</w:t>
            </w:r>
          </w:p>
        </w:tc>
      </w:tr>
    </w:tbl>
    <w:p>
      <w:pPr>
        <w:spacing w:before="80" w:after="200"/>
        <w:ind w:left="160"/>
        <w:jc w:val="left"/>
        <w:pageBreakBefore/>
        <w:shd w:fill="7C5B7E"/>
      </w:pPr>
      <w:r>
        <w:rPr>
          <w:rFonts w:ascii="Noto Sans CJK SC" w:hAnsi="Noto Sans CJK SC" w:eastAsia="Noto Sans CJK SC"/>
          <w:b/>
          <w:color w:val="FFFFFF"/>
          <w:sz w:val="32"/>
        </w:rPr>
        <w:t>裂口  /  谁掌握路线，谁承担风险</w:t>
      </w:r>
    </w:p>
    <w:p>
      <w:pPr>
        <w:pStyle w:val="Heading1"/>
      </w:pPr>
      <w:r>
        <w:t>5.1 居民、交易阶层与临时秩序</w:t>
      </w:r>
    </w:p>
    <w:tbl>
      <w:tblPr>
        <w:tblStyle w:val="TableGrid"/>
        <w:tblW w:type="dxa" w:w="9360"/>
        <w:jc w:val="center"/>
        <w:tblLayout w:type="fixed"/>
        <w:tblLook w:firstColumn="1" w:firstRow="1" w:lastColumn="0" w:lastRow="0" w:noHBand="0" w:noVBand="1" w:val="04A0"/>
        <w:tblInd w:w="120" w:type="dxa"/>
      </w:tblPr>
      <w:tblGrid>
        <w:gridCol w:w="2300"/>
        <w:gridCol w:w="3100"/>
        <w:gridCol w:w="3960"/>
      </w:tblGrid>
      <w:tr>
        <w:trPr>
          <w:tblHeader w:val="true"/>
          <w:cantSplit/>
        </w:trPr>
        <w:tc>
          <w:tcPr>
            <w:tcW w:type="dxa" w:w="23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社会位置</w:t>
            </w:r>
          </w:p>
        </w:tc>
        <w:tc>
          <w:tcPr>
            <w:tcW w:type="dxa" w:w="31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掌握的资源</w:t>
            </w:r>
          </w:p>
        </w:tc>
        <w:tc>
          <w:tcPr>
            <w:tcW w:type="dxa" w:w="396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空间与造型</w:t>
            </w:r>
          </w:p>
        </w:tc>
      </w:tr>
      <w:tr>
        <w:trPr>
          <w:cantSplit/>
        </w:trPr>
        <w:tc>
          <w:tcPr>
            <w:tcW w:type="dxa" w:w="23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谈判代理人与中间人</w:t>
            </w:r>
          </w:p>
        </w:tc>
        <w:tc>
          <w:tcPr>
            <w:tcW w:type="dxa" w:w="3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多方信任、秘密、场地与担保能力。</w:t>
            </w:r>
          </w:p>
        </w:tc>
        <w:tc>
          <w:tcPr>
            <w:tcW w:type="dxa" w:w="39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占据可观察全场的高处或半私密空间；服装混合三方材料但完成度高。</w:t>
            </w:r>
          </w:p>
        </w:tc>
      </w:tr>
      <w:tr>
        <w:trPr>
          <w:cantSplit/>
        </w:trPr>
        <w:tc>
          <w:tcPr>
            <w:tcW w:type="dxa" w:w="23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路线控制者 / 运输组织</w:t>
            </w:r>
          </w:p>
        </w:tc>
        <w:tc>
          <w:tcPr>
            <w:tcW w:type="dxa" w:w="3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桥、船、旧轨、通行时间和危险信息。</w:t>
            </w:r>
          </w:p>
        </w:tc>
        <w:tc>
          <w:tcPr>
            <w:tcW w:type="dxa" w:w="39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便携照明、路径标记、耐候外套与快速装卸设备。</w:t>
            </w:r>
          </w:p>
        </w:tc>
      </w:tr>
      <w:tr>
        <w:trPr>
          <w:cantSplit/>
        </w:trPr>
        <w:tc>
          <w:tcPr>
            <w:tcW w:type="dxa" w:w="23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摊主与长期经营者</w:t>
            </w:r>
          </w:p>
        </w:tc>
        <w:tc>
          <w:tcPr>
            <w:tcW w:type="dxa" w:w="3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固定摊位、客源、维修能力与本地关系。</w:t>
            </w:r>
          </w:p>
        </w:tc>
        <w:tc>
          <w:tcPr>
            <w:tcW w:type="dxa" w:w="39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临时建筑逐年加固，招牌和工具形成个人识别。</w:t>
            </w:r>
          </w:p>
        </w:tc>
      </w:tr>
      <w:tr>
        <w:trPr>
          <w:cantSplit/>
        </w:trPr>
        <w:tc>
          <w:tcPr>
            <w:tcW w:type="dxa" w:w="23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黑市技术者与改造师</w:t>
            </w:r>
          </w:p>
        </w:tc>
        <w:tc>
          <w:tcPr>
            <w:tcW w:type="dxa" w:w="3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非标准接口、跨文明零件与绕过限制的能力。</w:t>
            </w:r>
          </w:p>
        </w:tc>
        <w:tc>
          <w:tcPr>
            <w:tcW w:type="dxa" w:w="39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混装设备、独立电源、遮挡工作区与强烈功能轮廓。</w:t>
            </w:r>
          </w:p>
        </w:tc>
      </w:tr>
      <w:tr>
        <w:trPr>
          <w:cantSplit/>
        </w:trPr>
        <w:tc>
          <w:tcPr>
            <w:tcW w:type="dxa" w:w="23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情报贩子 / 小型跑腿</w:t>
            </w:r>
          </w:p>
        </w:tc>
        <w:tc>
          <w:tcPr>
            <w:tcW w:type="dxa" w:w="3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听觉、路线、人脉与快速移动。</w:t>
            </w:r>
          </w:p>
        </w:tc>
        <w:tc>
          <w:tcPr>
            <w:tcW w:type="dxa" w:w="39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轻量背包、藏物结构、细小通道和高频视线变化。</w:t>
            </w:r>
          </w:p>
        </w:tc>
      </w:tr>
      <w:tr>
        <w:trPr>
          <w:cantSplit/>
        </w:trPr>
        <w:tc>
          <w:tcPr>
            <w:tcW w:type="dxa" w:w="23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流动劳动者与难民式人口</w:t>
            </w:r>
          </w:p>
        </w:tc>
        <w:tc>
          <w:tcPr>
            <w:tcW w:type="dxa" w:w="3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体力、临时技能、少量随身资产。</w:t>
            </w:r>
          </w:p>
        </w:tc>
        <w:tc>
          <w:tcPr>
            <w:tcW w:type="dxa" w:w="39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便携床铺、捆扎行李、修补衣物与短暂停留痕迹。</w:t>
            </w:r>
          </w:p>
        </w:tc>
      </w:tr>
      <w:tr>
        <w:trPr>
          <w:cantSplit/>
        </w:trPr>
        <w:tc>
          <w:tcPr>
            <w:tcW w:type="dxa" w:w="23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掠夺者与雇佣力量</w:t>
            </w:r>
          </w:p>
        </w:tc>
        <w:tc>
          <w:tcPr>
            <w:tcW w:type="dxa" w:w="3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速度、武力、空中或隐蔽路径。</w:t>
            </w:r>
          </w:p>
        </w:tc>
        <w:tc>
          <w:tcPr>
            <w:tcW w:type="dxa" w:w="39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高处剪影、抓钩、弯刃、护具与快速撤离装置。</w:t>
            </w:r>
          </w:p>
        </w:tc>
      </w:tr>
    </w:tbl>
    <w:p>
      <w:pPr>
        <w:spacing w:after="40"/>
      </w:pPr>
    </w:p>
    <w:tbl>
      <w:tblPr>
        <w:tblW w:type="dxa" w:w="9360"/>
        <w:jc w:val="center"/>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F3E9D3"/>
          </w:tcPr>
          <w:p>
            <w:pPr>
              <w:spacing w:after="0"/>
            </w:pPr>
            <w:r>
              <w:rPr>
                <w:rFonts w:ascii="Noto Sans CJK SC" w:hAnsi="Noto Sans CJK SC" w:eastAsia="Noto Sans CJK SC"/>
                <w:b/>
                <w:color w:val="244C66"/>
                <w:sz w:val="21"/>
              </w:rPr>
              <w:t xml:space="preserve">[概念提案] 裂口的“资产阶级”替代  </w:t>
            </w:r>
            <w:r>
              <w:rPr>
                <w:rFonts w:ascii="Noto Sans CJK SC" w:hAnsi="Noto Sans CJK SC" w:eastAsia="Noto Sans CJK SC"/>
                <w:b w:val="0"/>
                <w:color w:val="17212B"/>
                <w:sz w:val="21"/>
              </w:rPr>
              <w:t>裂口不必复制高墙里的股权资本阶级。更适合用“掌握场地、路线、担保、情报与跨区接口的人”形成上层；财富应体现在能让交易稳定发生，而不只是穿得昂贵。</w:t>
            </w:r>
          </w:p>
        </w:tc>
        <w:trPr>
          <w:tblHeader/>
        </w:trPr>
      </w:tr>
    </w:tbl>
    <w:p>
      <w:pPr>
        <w:spacing w:before="80" w:after="200"/>
        <w:ind w:left="160"/>
        <w:jc w:val="left"/>
        <w:pageBreakBefore/>
        <w:shd w:fill="7C5B7E"/>
      </w:pPr>
      <w:r>
        <w:rPr>
          <w:rFonts w:ascii="Noto Sans CJK SC" w:hAnsi="Noto Sans CJK SC" w:eastAsia="Noto Sans CJK SC"/>
          <w:b/>
          <w:color w:val="FFFFFF"/>
          <w:sz w:val="32"/>
        </w:rPr>
        <w:t>裂口  /  边界城市的可变结构</w:t>
      </w:r>
    </w:p>
    <w:p>
      <w:pPr>
        <w:pStyle w:val="Heading1"/>
      </w:pPr>
      <w:r>
        <w:t>5.2 城市规划、交通与建筑拼接</w:t>
      </w:r>
    </w:p>
    <w:p>
      <w:pPr>
        <w:keepNext/>
        <w:spacing w:before="0" w:after="0"/>
        <w:jc w:val="center"/>
      </w:pPr>
      <w:r>
        <w:drawing>
          <wp:inline xmlns:a="http://schemas.openxmlformats.org/drawingml/2006/main" xmlns:pic="http://schemas.openxmlformats.org/drawingml/2006/picture">
            <wp:extent cx="5897880" cy="3319321"/>
            <wp:docPr id="54" name="Picture 54" descr="Image: image62.jpg"/>
            <wp:cNvGraphicFramePr>
              <a:graphicFrameLocks noChangeAspect="1"/>
            </wp:cNvGraphicFramePr>
            <a:graphic>
              <a:graphicData uri="http://schemas.openxmlformats.org/drawingml/2006/picture">
                <pic:pic>
                  <pic:nvPicPr>
                    <pic:cNvPr id="0" name="裂口水路中轴.jpg"/>
                    <pic:cNvPicPr/>
                  </pic:nvPicPr>
                  <pic:blipFill>
                    <a:blip r:embed="rId72"/>
                    <a:stretch>
                      <a:fillRect/>
                    </a:stretch>
                  </pic:blipFill>
                  <pic:spPr>
                    <a:xfrm>
                      <a:off x="0" y="0"/>
                      <a:ext cx="5897880" cy="3319321"/>
                    </a:xfrm>
                    <a:prstGeom prst="rect"/>
                  </pic:spPr>
                </pic:pic>
              </a:graphicData>
            </a:graphic>
          </wp:inline>
        </w:drawing>
      </w:r>
    </w:p>
    <w:p>
      <w:pPr>
        <w:pStyle w:val="Smallnote"/>
        <w:keepLines/>
        <w:jc w:val="center"/>
      </w:pPr>
      <w:r>
        <w:t>裂口水路中轴：水上交通、两岸市场、层叠建筑、废机坟船体结构与远处高墙共同构成开放、混杂但可辨秩序的主交通界面。</w:t>
      </w:r>
    </w:p>
    <w:p>
      <w:pPr>
        <w:keepNext/>
        <w:spacing w:before="0" w:after="0"/>
        <w:jc w:val="center"/>
      </w:pPr>
      <w:r>
        <w:drawing>
          <wp:inline xmlns:a="http://schemas.openxmlformats.org/drawingml/2006/main" xmlns:pic="http://schemas.openxmlformats.org/drawingml/2006/picture">
            <wp:extent cx="5897880" cy="2528543"/>
            <wp:docPr id="55" name="Picture 55" descr="Image: image63.jpg"/>
            <wp:cNvGraphicFramePr>
              <a:graphicFrameLocks noChangeAspect="1"/>
            </wp:cNvGraphicFramePr>
            <a:graphic>
              <a:graphicData uri="http://schemas.openxmlformats.org/drawingml/2006/picture">
                <pic:pic>
                  <pic:nvPicPr>
                    <pic:cNvPr id="0" name="裂口悬水车站-对侧站台.jpg"/>
                    <pic:cNvPicPr/>
                  </pic:nvPicPr>
                  <pic:blipFill>
                    <a:blip r:embed="rId73"/>
                    <a:stretch>
                      <a:fillRect/>
                    </a:stretch>
                  </pic:blipFill>
                  <pic:spPr>
                    <a:xfrm>
                      <a:off x="0" y="0"/>
                      <a:ext cx="5897880" cy="2528543"/>
                    </a:xfrm>
                    <a:prstGeom prst="rect"/>
                  </pic:spPr>
                </pic:pic>
              </a:graphicData>
            </a:graphic>
          </wp:inline>
        </w:drawing>
      </w:r>
    </w:p>
    <w:p>
      <w:pPr>
        <w:pStyle w:val="Smallnote"/>
        <w:keepLines/>
        <w:jc w:val="center"/>
      </w:pPr>
      <w:r>
        <w:t>裂口悬水车站对侧站台：旧轨、临水站台、木金属拼接顶棚、单点暖灯与远处跨区城市层次共同表现临时交通设施的长期使用痕迹。</w:t>
      </w:r>
    </w:p>
    <w:p>
      <w:pPr>
        <w:pStyle w:val="ListBullet"/>
      </w:pPr>
      <w:r>
        <w:rPr>
          <w:rFonts w:ascii="Noto Sans CJK SC" w:hAnsi="Noto Sans CJK SC" w:eastAsia="Noto Sans CJK SC"/>
        </w:rPr>
        <w:t>裂口整体必须开阔，允许水面、市场、桥网、旧轨和多片临时街区同时出现；禁止回到狭窄垂直峡谷设定。</w:t>
      </w:r>
    </w:p>
    <w:p>
      <w:pPr>
        <w:pStyle w:val="ListBullet"/>
      </w:pPr>
      <w:r>
        <w:rPr>
          <w:rFonts w:ascii="Noto Sans CJK SC" w:hAnsi="Noto Sans CJK SC" w:eastAsia="Noto Sans CJK SC"/>
        </w:rPr>
        <w:t>建筑以“寄生和拼接”为主：借用高墙外壁、兽山岩台、废机坟旧梁与桥墩形成临时层级。</w:t>
      </w:r>
    </w:p>
    <w:p>
      <w:pPr>
        <w:pStyle w:val="ListBullet"/>
      </w:pPr>
      <w:r>
        <w:rPr>
          <w:rFonts w:ascii="Noto Sans CJK SC" w:hAnsi="Noto Sans CJK SC" w:eastAsia="Noto Sans CJK SC"/>
        </w:rPr>
        <w:t>主路为交易服务，后巷为规避与转手服务，高处路线为观察和快速移动服务，水路则承担隐藏与绕行。</w:t>
      </w:r>
    </w:p>
    <w:p>
      <w:pPr>
        <w:pStyle w:val="ListBullet"/>
      </w:pPr>
      <w:r>
        <w:rPr>
          <w:rFonts w:ascii="Noto Sans CJK SC" w:hAnsi="Noto Sans CJK SC" w:eastAsia="Noto Sans CJK SC"/>
        </w:rPr>
        <w:t>交通界面必须处理人类、兽人、轮式机器人、大型改造体与翼兽的同时出现；换乘本身就是视觉冲突。</w:t>
      </w:r>
    </w:p>
    <w:p>
      <w:pPr>
        <w:pStyle w:val="ListBullet"/>
      </w:pPr>
      <w:r>
        <w:rPr>
          <w:rFonts w:ascii="Noto Sans CJK SC" w:hAnsi="Noto Sans CJK SC" w:eastAsia="Noto Sans CJK SC"/>
        </w:rPr>
        <w:t>招牌系统允许多语言、多图形、多材料并置，但整体仍需设计信息层级，不能变成无差别霓虹噪声。</w:t>
      </w:r>
    </w:p>
    <w:p>
      <w:pPr>
        <w:pStyle w:val="ListBullet"/>
      </w:pPr>
      <w:r>
        <w:rPr>
          <w:rFonts w:ascii="Noto Sans CJK SC" w:hAnsi="Noto Sans CJK SC" w:eastAsia="Noto Sans CJK SC"/>
        </w:rPr>
        <w:t>裂口的建筑耐久度从“当天搭建的布棚”到“经营多年、被反复焊补的酒馆”形成连续谱。</w:t>
      </w:r>
    </w:p>
    <w:tbl>
      <w:tblPr>
        <w:tblStyle w:val="TableGrid"/>
        <w:tblW w:type="dxa" w:w="9360"/>
        <w:jc w:val="center"/>
        <w:tblLayout w:type="fixed"/>
        <w:tblLook w:firstColumn="1" w:firstRow="1" w:lastColumn="0" w:lastRow="0" w:noHBand="0" w:noVBand="1" w:val="04A0"/>
        <w:tblInd w:w="120" w:type="dxa"/>
      </w:tblPr>
      <w:tblGrid>
        <w:gridCol w:w="2050"/>
        <w:gridCol w:w="7310"/>
      </w:tblGrid>
      <w:tr>
        <w:trPr>
          <w:tblHeader w:val="true"/>
          <w:cantSplit/>
        </w:trPr>
        <w:tc>
          <w:tcPr>
            <w:tcW w:type="dxa" w:w="205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来源文明</w:t>
            </w:r>
          </w:p>
        </w:tc>
        <w:tc>
          <w:tcPr>
            <w:tcW w:type="dxa" w:w="731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进入裂口后的变形</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高墙里</w:t>
            </w:r>
          </w:p>
        </w:tc>
        <w:tc>
          <w:tcPr>
            <w:tcW w:type="dxa" w:w="7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精密零件、扫描设备和标准模块被拆壳、绕过权限或改成摊位工具。</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兽山</w:t>
            </w:r>
          </w:p>
        </w:tc>
        <w:tc>
          <w:tcPr>
            <w:tcW w:type="dxa" w:w="7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织物、骨角、香料、药材、符号与适配多物种的生活器物进入市场。</w:t>
            </w:r>
          </w:p>
        </w:tc>
      </w:tr>
      <w:tr>
        <w:trPr>
          <w:cantSplit/>
        </w:trPr>
        <w:tc>
          <w:tcPr>
            <w:tcW w:type="dxa" w:w="205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废机坟</w:t>
            </w:r>
          </w:p>
        </w:tc>
        <w:tc>
          <w:tcPr>
            <w:tcW w:type="dxa" w:w="731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旧机体、转接器、焊接结构、轮式平台和自制信号设备成为基础设施。</w:t>
            </w:r>
          </w:p>
        </w:tc>
      </w:tr>
    </w:tbl>
    <w:p>
      <w:pPr>
        <w:spacing w:before="80" w:after="200"/>
        <w:ind w:left="160"/>
        <w:jc w:val="left"/>
        <w:pageBreakBefore/>
        <w:shd w:fill="7C5B7E"/>
      </w:pPr>
      <w:r>
        <w:rPr>
          <w:rFonts w:ascii="Noto Sans CJK SC" w:hAnsi="Noto Sans CJK SC" w:eastAsia="Noto Sans CJK SC"/>
          <w:b/>
          <w:color w:val="FFFFFF"/>
          <w:sz w:val="32"/>
        </w:rPr>
        <w:t>裂口  /  混杂不等于无规则</w:t>
      </w:r>
    </w:p>
    <w:p>
      <w:pPr>
        <w:pStyle w:val="Heading1"/>
      </w:pPr>
      <w:r>
        <w:t>5.3 裂口的城市冲突界面</w:t>
      </w:r>
    </w:p>
    <w:tbl>
      <w:tblPr>
        <w:tblStyle w:val="TableGrid"/>
        <w:tblW w:type="dxa" w:w="9360"/>
        <w:jc w:val="center"/>
        <w:tblLayout w:type="fixed"/>
        <w:tblLook w:firstColumn="1" w:firstRow="1" w:lastColumn="0" w:lastRow="0" w:noHBand="0" w:noVBand="1" w:val="04A0"/>
        <w:tblInd w:w="120" w:type="dxa"/>
      </w:tblPr>
      <w:tblGrid>
        <w:gridCol w:w="2000"/>
        <w:gridCol w:w="4800"/>
        <w:gridCol w:w="2560"/>
      </w:tblGrid>
      <w:tr>
        <w:trPr>
          <w:tblHeader w:val="true"/>
          <w:cantSplit/>
        </w:trPr>
        <w:tc>
          <w:tcPr>
            <w:tcW w:type="dxa" w:w="20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冲突界面</w:t>
            </w:r>
          </w:p>
        </w:tc>
        <w:tc>
          <w:tcPr>
            <w:tcW w:type="dxa" w:w="48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美术表达</w:t>
            </w:r>
          </w:p>
        </w:tc>
        <w:tc>
          <w:tcPr>
            <w:tcW w:type="dxa" w:w="256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避免的问题</w:t>
            </w:r>
          </w:p>
        </w:tc>
      </w:tr>
      <w:tr>
        <w:trPr>
          <w:cantSplit/>
        </w:trPr>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公开市场 / 黑市</w:t>
            </w:r>
          </w:p>
        </w:tc>
        <w:tc>
          <w:tcPr>
            <w:tcW w:type="dxa" w:w="4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灯光、摊位朝向、入口深度与守望位置逐级变化。</w:t>
            </w:r>
          </w:p>
        </w:tc>
        <w:tc>
          <w:tcPr>
            <w:tcW w:type="dxa" w:w="25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不要只用“更暗”区分。</w:t>
            </w:r>
          </w:p>
        </w:tc>
      </w:tr>
      <w:tr>
        <w:trPr>
          <w:cantSplit/>
        </w:trPr>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三方货物 / 非标准兼容</w:t>
            </w:r>
          </w:p>
        </w:tc>
        <w:tc>
          <w:tcPr>
            <w:tcW w:type="dxa" w:w="4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转接器、绳结、临时电源、容器尺寸和二次包装显露来源。</w:t>
            </w:r>
          </w:p>
        </w:tc>
        <w:tc>
          <w:tcPr>
            <w:tcW w:type="dxa" w:w="25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不要把所有商品画成统一赛博箱子。</w:t>
            </w:r>
          </w:p>
        </w:tc>
      </w:tr>
      <w:tr>
        <w:trPr>
          <w:cantSplit/>
        </w:trPr>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长期经营 / 临时停留</w:t>
            </w:r>
          </w:p>
        </w:tc>
        <w:tc>
          <w:tcPr>
            <w:tcW w:type="dxa" w:w="4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建筑加固程度、工具摆放、睡眠痕迹和固定招牌形成差异。</w:t>
            </w:r>
          </w:p>
        </w:tc>
        <w:tc>
          <w:tcPr>
            <w:tcW w:type="dxa" w:w="25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不要让整座裂口都像一次性夜市。</w:t>
            </w:r>
          </w:p>
        </w:tc>
      </w:tr>
      <w:tr>
        <w:trPr>
          <w:cantSplit/>
        </w:trPr>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协商 / 掠夺</w:t>
            </w:r>
          </w:p>
        </w:tc>
        <w:tc>
          <w:tcPr>
            <w:tcW w:type="dxa" w:w="4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酒馆高处视线、半私密座席对照屋顶、滑索与伏击路线。</w:t>
            </w:r>
          </w:p>
        </w:tc>
        <w:tc>
          <w:tcPr>
            <w:tcW w:type="dxa" w:w="25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不要靠说明文字解释权力。</w:t>
            </w:r>
          </w:p>
        </w:tc>
      </w:tr>
      <w:tr>
        <w:trPr>
          <w:cantSplit/>
        </w:trPr>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流动人口 / 路线掌握者</w:t>
            </w:r>
          </w:p>
        </w:tc>
        <w:tc>
          <w:tcPr>
            <w:tcW w:type="dxa" w:w="4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背负全部家当的人与轻装、熟路、可绕行的人形成剪影差。</w:t>
            </w:r>
          </w:p>
        </w:tc>
        <w:tc>
          <w:tcPr>
            <w:tcW w:type="dxa" w:w="25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不要只用服装价格区分。</w:t>
            </w:r>
          </w:p>
        </w:tc>
      </w:tr>
      <w:tr>
        <w:trPr>
          <w:cantSplit/>
        </w:trPr>
        <w:tc>
          <w:tcPr>
            <w:tcW w:type="dxa" w:w="20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公共边界 / 第四城市误读</w:t>
            </w:r>
          </w:p>
        </w:tc>
        <w:tc>
          <w:tcPr>
            <w:tcW w:type="dxa" w:w="48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视觉上始终能看见至少两种文明结构的接壤证据。</w:t>
            </w:r>
          </w:p>
        </w:tc>
        <w:tc>
          <w:tcPr>
            <w:tcW w:type="dxa" w:w="25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不要把裂口画成完全自足、与三城无关的新城。</w:t>
            </w:r>
          </w:p>
        </w:tc>
      </w:tr>
    </w:tbl>
    <w:p>
      <w:pPr>
        <w:spacing w:before="80" w:after="200"/>
        <w:ind w:left="160"/>
        <w:jc w:val="left"/>
        <w:pageBreakBefore/>
        <w:shd w:fill="8E6B2D"/>
      </w:pPr>
      <w:r>
        <w:rPr>
          <w:rFonts w:ascii="Noto Sans CJK SC" w:hAnsi="Noto Sans CJK SC" w:eastAsia="Noto Sans CJK SC"/>
          <w:b/>
          <w:color w:val="FFFFFF"/>
          <w:sz w:val="32"/>
        </w:rPr>
        <w:t>总城  /  生产快速核对</w:t>
      </w:r>
    </w:p>
    <w:p>
      <w:pPr>
        <w:pStyle w:val="Heading1"/>
      </w:pPr>
      <w:r>
        <w:t>6. 四区域美术对照总表</w:t>
      </w:r>
    </w:p>
    <w:tbl>
      <w:tblPr>
        <w:tblStyle w:val="TableGrid"/>
        <w:tblW w:type="dxa" w:w="9360"/>
        <w:jc w:val="center"/>
        <w:tblLayout w:type="fixed"/>
        <w:tblLook w:firstColumn="1" w:firstRow="1" w:lastColumn="0" w:lastRow="0" w:noHBand="0" w:noVBand="1" w:val="04A0"/>
        <w:tblInd w:w="120" w:type="dxa"/>
      </w:tblPr>
      <w:tblGrid>
        <w:gridCol w:w="1400"/>
        <w:gridCol w:w="1990"/>
        <w:gridCol w:w="1990"/>
        <w:gridCol w:w="1990"/>
        <w:gridCol w:w="1990"/>
      </w:tblGrid>
      <w:tr>
        <w:trPr>
          <w:tblHeader w:val="true"/>
          <w:cantSplit/>
        </w:trPr>
        <w:tc>
          <w:tcPr>
            <w:tcW w:type="dxa" w:w="14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项目</w:t>
            </w:r>
          </w:p>
        </w:tc>
        <w:tc>
          <w:tcPr>
            <w:tcW w:type="dxa" w:w="199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高墙里</w:t>
            </w:r>
          </w:p>
        </w:tc>
        <w:tc>
          <w:tcPr>
            <w:tcW w:type="dxa" w:w="199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兽山</w:t>
            </w:r>
          </w:p>
        </w:tc>
        <w:tc>
          <w:tcPr>
            <w:tcW w:type="dxa" w:w="199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废机坟</w:t>
            </w:r>
          </w:p>
        </w:tc>
        <w:tc>
          <w:tcPr>
            <w:tcW w:type="dxa" w:w="199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裂口</w:t>
            </w:r>
          </w:p>
        </w:tc>
      </w:tr>
      <w:tr>
        <w:trPr>
          <w:cantSplit/>
        </w:trPr>
        <w:tc>
          <w:tcPr>
            <w:tcW w:type="dxa" w:w="14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城市轮廓</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巨墙、平台、塔、垂直轴线</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山、崖、古桥、洞穴、巨兽</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尸山、吊臂、信号塔、空腔</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水面、桥网、棚屋、旧轨</w:t>
            </w:r>
          </w:p>
        </w:tc>
      </w:tr>
      <w:tr>
        <w:trPr>
          <w:cantSplit/>
        </w:trPr>
        <w:tc>
          <w:tcPr>
            <w:tcW w:type="dxa" w:w="14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居民主体</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人类为主；兽人受排斥；服务机器人</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原生兽人与真正神兽</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纯机器人常住社会</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三方流动人口与中间人</w:t>
            </w:r>
          </w:p>
        </w:tc>
      </w:tr>
      <w:tr>
        <w:trPr>
          <w:cantSplit/>
        </w:trPr>
        <w:tc>
          <w:tcPr>
            <w:tcW w:type="dxa" w:w="14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阶层依据</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资本、身份、权限、医疗与日照</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治理未定；先按功能共同体</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能源、维修、信号、兼容性（提案）</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路线、场地、担保、情报</w:t>
            </w:r>
          </w:p>
        </w:tc>
      </w:tr>
      <w:tr>
        <w:trPr>
          <w:cantSplit/>
        </w:trPr>
        <w:tc>
          <w:tcPr>
            <w:tcW w:type="dxa" w:w="14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基础材质</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白色复材、玻璃、精密金属</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岩、木、骨角、织物、土</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旧钢、锈、线缆、掉漆外壳</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拼接金属、布棚、旧木、杂色灯</w:t>
            </w:r>
          </w:p>
        </w:tc>
      </w:tr>
      <w:tr>
        <w:trPr>
          <w:cantSplit/>
        </w:trPr>
        <w:tc>
          <w:tcPr>
            <w:tcW w:type="dxa" w:w="14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光</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冷白控制光 / 稀缺暖日照</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自然天光、雾、火、灵性点光</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灰天雨雾、旧黄灯、信号光</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夜色、水面反射、摊灯与霓虹</w:t>
            </w:r>
          </w:p>
        </w:tc>
      </w:tr>
      <w:tr>
        <w:trPr>
          <w:cantSplit/>
        </w:trPr>
        <w:tc>
          <w:tcPr>
            <w:tcW w:type="dxa" w:w="14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身体观</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可升级、可定制、可协议控制</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原生差异塑造空间</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模块、回用、维修与自我命名</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混装、转接与跨文明改造</w:t>
            </w:r>
          </w:p>
        </w:tc>
      </w:tr>
      <w:tr>
        <w:trPr>
          <w:cantSplit/>
        </w:trPr>
        <w:tc>
          <w:tcPr>
            <w:tcW w:type="dxa" w:w="14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空间冲突</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上层天空 / 底层承重</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多物种适配 / 外部人类标准</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机器身体 / 人类城市模板</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临时秩序 / 制度漏洞</w:t>
            </w:r>
          </w:p>
        </w:tc>
      </w:tr>
      <w:tr>
        <w:trPr>
          <w:cantSplit/>
        </w:trPr>
        <w:tc>
          <w:tcPr>
            <w:tcW w:type="dxa" w:w="14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禁止混入</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兽山古建、废机坟尸山、裂口霓虹黑市</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公司白塔、实验室舱阵、整城霓虹</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人类贫民窟常住人口、兽人聚落</w:t>
            </w:r>
          </w:p>
        </w:tc>
        <w:tc>
          <w:tcPr>
            <w:tcW w:type="dxa" w:w="199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完全自足的第四城轮廓</w:t>
            </w:r>
          </w:p>
        </w:tc>
      </w:tr>
    </w:tbl>
    <w:p>
      <w:pPr>
        <w:spacing w:before="80" w:after="200"/>
        <w:ind w:left="160"/>
        <w:jc w:val="left"/>
        <w:pageBreakBefore/>
        <w:shd w:fill="8E6B2D"/>
      </w:pPr>
      <w:r>
        <w:rPr>
          <w:rFonts w:ascii="Noto Sans CJK SC" w:hAnsi="Noto Sans CJK SC" w:eastAsia="Noto Sans CJK SC"/>
          <w:b/>
          <w:color w:val="FFFFFF"/>
          <w:sz w:val="32"/>
        </w:rPr>
        <w:t>总城  /  场景、建筑、道具与连续性</w:t>
      </w:r>
    </w:p>
    <w:p>
      <w:pPr>
        <w:pStyle w:val="Heading1"/>
      </w:pPr>
      <w:r>
        <w:t>6.1 资产生产规范</w:t>
      </w:r>
    </w:p>
    <w:p>
      <w:pPr>
        <w:pStyle w:val="ListBullet"/>
      </w:pPr>
      <w:r>
        <w:rPr>
          <w:rFonts w:ascii="Noto Sans CJK SC" w:hAnsi="Noto Sans CJK SC" w:eastAsia="Noto Sans CJK SC"/>
        </w:rPr>
        <w:t>场景资产先标注区域，再生成或绘制；提示词必须写明“禁止出现的他城元素”。</w:t>
      </w:r>
    </w:p>
    <w:p>
      <w:pPr>
        <w:pStyle w:val="ListBullet"/>
      </w:pPr>
      <w:r>
        <w:rPr>
          <w:rFonts w:ascii="Noto Sans CJK SC" w:hAnsi="Noto Sans CJK SC" w:eastAsia="Noto Sans CJK SC"/>
        </w:rPr>
        <w:t>居民群像只用于验证城市尺度与生活逻辑，不制作具名人物卡；应覆盖不同体型、职业、阶层、携带物和通行方式，并明确其与门洞、座椅、道路和公共设施的尺寸关系。</w:t>
      </w:r>
    </w:p>
    <w:p>
      <w:pPr>
        <w:pStyle w:val="ListBullet"/>
      </w:pPr>
      <w:r>
        <w:rPr>
          <w:rFonts w:ascii="Noto Sans CJK SC" w:hAnsi="Noto Sans CJK SC" w:eastAsia="Noto Sans CJK SC"/>
        </w:rPr>
        <w:t>城市设定图至少包含：远景轮廓、街道中景、公共节点、居住空间、工作空间、交通节点和材质特写。</w:t>
      </w:r>
    </w:p>
    <w:p>
      <w:pPr>
        <w:pStyle w:val="ListBullet"/>
      </w:pPr>
      <w:r>
        <w:rPr>
          <w:rFonts w:ascii="Noto Sans CJK SC" w:hAnsi="Noto Sans CJK SC" w:eastAsia="Noto Sans CJK SC"/>
        </w:rPr>
        <w:t>每个关键道具都要回答：谁使用、在哪里存放、如何供能、如何维修、坏了会呈现什么状态。</w:t>
      </w:r>
    </w:p>
    <w:p>
      <w:pPr>
        <w:pStyle w:val="ListBullet"/>
      </w:pPr>
      <w:r>
        <w:rPr>
          <w:rFonts w:ascii="Noto Sans CJK SC" w:hAnsi="Noto Sans CJK SC" w:eastAsia="Noto Sans CJK SC"/>
        </w:rPr>
        <w:t>同类居民进入不同城市时，可改变防护、携带物、通行标识和光线反应；既有物种与身体结构不能为了适配场景而随意改变。</w:t>
      </w:r>
    </w:p>
    <w:p>
      <w:pPr>
        <w:pStyle w:val="ListBullet"/>
      </w:pPr>
      <w:r>
        <w:rPr>
          <w:rFonts w:ascii="Noto Sans CJK SC" w:hAnsi="Noto Sans CJK SC" w:eastAsia="Noto Sans CJK SC"/>
        </w:rPr>
        <w:t>所有3D转2D资产遵循统一三渲二规范，但不使用统一滤镜抹平城市差异。</w:t>
      </w:r>
    </w:p>
    <w:p>
      <w:pPr>
        <w:pStyle w:val="ListBullet"/>
      </w:pPr>
      <w:r>
        <w:rPr>
          <w:rFonts w:ascii="Noto Sans CJK SC" w:hAnsi="Noto Sans CJK SC" w:eastAsia="Noto Sans CJK SC"/>
        </w:rPr>
        <w:t>画面中的文字在入库前必须检查；占位英文、错误公司名、旧地名和不可控品牌文字不得进入正式参赛文件。</w:t>
      </w:r>
    </w:p>
    <w:tbl>
      <w:tblPr>
        <w:tblStyle w:val="TableGrid"/>
        <w:tblW w:type="dxa" w:w="9360"/>
        <w:jc w:val="center"/>
        <w:tblLayout w:type="fixed"/>
        <w:tblLook w:firstColumn="1" w:firstRow="1" w:lastColumn="0" w:lastRow="0" w:noHBand="0" w:noVBand="1" w:val="04A0"/>
        <w:tblInd w:w="120" w:type="dxa"/>
      </w:tblPr>
      <w:tblGrid>
        <w:gridCol w:w="2200"/>
        <w:gridCol w:w="7160"/>
      </w:tblGrid>
      <w:tr>
        <w:trPr>
          <w:tblHeader w:val="true"/>
          <w:cantSplit/>
        </w:trPr>
        <w:tc>
          <w:tcPr>
            <w:tcW w:type="dxa" w:w="22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检查项</w:t>
            </w:r>
          </w:p>
        </w:tc>
        <w:tc>
          <w:tcPr>
            <w:tcW w:type="dxa" w:w="716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通过标准</w:t>
            </w:r>
          </w:p>
        </w:tc>
      </w:tr>
      <w:tr>
        <w:trPr>
          <w:cantSplit/>
        </w:trPr>
        <w:tc>
          <w:tcPr>
            <w:tcW w:type="dxa" w:w="22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区域辨识</w:t>
            </w:r>
          </w:p>
        </w:tc>
        <w:tc>
          <w:tcPr>
            <w:tcW w:type="dxa" w:w="7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去掉字幕后，仍能在3秒内从轮廓、材质和光线判断城市。</w:t>
            </w:r>
          </w:p>
        </w:tc>
      </w:tr>
      <w:tr>
        <w:trPr>
          <w:cantSplit/>
        </w:trPr>
        <w:tc>
          <w:tcPr>
            <w:tcW w:type="dxa" w:w="22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居民可信</w:t>
            </w:r>
          </w:p>
        </w:tc>
        <w:tc>
          <w:tcPr>
            <w:tcW w:type="dxa" w:w="7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体型、职业、阶层与空间设施互相支持，不是“换皮站街”。</w:t>
            </w:r>
          </w:p>
        </w:tc>
      </w:tr>
      <w:tr>
        <w:trPr>
          <w:cantSplit/>
        </w:trPr>
        <w:tc>
          <w:tcPr>
            <w:tcW w:type="dxa" w:w="22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尺度证据</w:t>
            </w:r>
          </w:p>
        </w:tc>
        <w:tc>
          <w:tcPr>
            <w:tcW w:type="dxa" w:w="7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巨构、巨兽、机械尸山都有栏杆、门、人群或工具作为参照。</w:t>
            </w:r>
          </w:p>
        </w:tc>
      </w:tr>
      <w:tr>
        <w:trPr>
          <w:cantSplit/>
        </w:trPr>
        <w:tc>
          <w:tcPr>
            <w:tcW w:type="dxa" w:w="22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生活痕迹</w:t>
            </w:r>
          </w:p>
        </w:tc>
        <w:tc>
          <w:tcPr>
            <w:tcW w:type="dxa" w:w="7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空间包含磨损、储物、维修、排水、充能、垃圾/遗骸处理等实际使用证据。</w:t>
            </w:r>
          </w:p>
        </w:tc>
      </w:tr>
      <w:tr>
        <w:trPr>
          <w:cantSplit/>
        </w:trPr>
        <w:tc>
          <w:tcPr>
            <w:tcW w:type="dxa" w:w="22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正典安全</w:t>
            </w:r>
          </w:p>
        </w:tc>
        <w:tc>
          <w:tcPr>
            <w:tcW w:type="dxa" w:w="7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已确认、概念提案与待确认不混写；未确认的城市制度不自动写死。</w:t>
            </w:r>
          </w:p>
        </w:tc>
      </w:tr>
      <w:tr>
        <w:trPr>
          <w:cantSplit/>
        </w:trPr>
        <w:tc>
          <w:tcPr>
            <w:tcW w:type="dxa" w:w="22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文字安全</w:t>
            </w:r>
          </w:p>
        </w:tc>
        <w:tc>
          <w:tcPr>
            <w:tcW w:type="dxa" w:w="71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无旧地名、占位英文、他人品牌或错误城市归属。</w:t>
            </w:r>
          </w:p>
        </w:tc>
      </w:tr>
    </w:tbl>
    <w:p>
      <w:pPr>
        <w:spacing w:before="80" w:after="200"/>
        <w:ind w:left="160"/>
        <w:jc w:val="left"/>
        <w:pageBreakBefore/>
        <w:shd w:fill="8E6B2D"/>
      </w:pPr>
      <w:r>
        <w:rPr>
          <w:rFonts w:ascii="Noto Sans CJK SC" w:hAnsi="Noto Sans CJK SC" w:eastAsia="Noto Sans CJK SC"/>
          <w:b/>
          <w:color w:val="FFFFFF"/>
          <w:sz w:val="32"/>
        </w:rPr>
        <w:t>总城  /  只确认会改变城市规划与美术规则的问题</w:t>
      </w:r>
    </w:p>
    <w:p>
      <w:pPr>
        <w:pStyle w:val="Heading1"/>
      </w:pPr>
      <w:r>
        <w:t>7. 城市设定待确认清单</w:t>
      </w:r>
    </w:p>
    <w:tbl>
      <w:tblPr>
        <w:tblW w:type="dxa" w:w="9360"/>
        <w:jc w:val="center"/>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DCEAF0"/>
          </w:tcPr>
          <w:p>
            <w:pPr>
              <w:spacing w:after="0"/>
            </w:pPr>
            <w:r>
              <w:rPr>
                <w:rFonts w:ascii="Noto Sans CJK SC" w:hAnsi="Noto Sans CJK SC" w:eastAsia="Noto Sans CJK SC"/>
                <w:b/>
                <w:color w:val="244C66"/>
                <w:sz w:val="21"/>
              </w:rPr>
              <w:t xml:space="preserve">[已确认] 本版自查结论  </w:t>
            </w:r>
            <w:r>
              <w:rPr>
                <w:rFonts w:ascii="Noto Sans CJK SC" w:hAnsi="Noto Sans CJK SC" w:eastAsia="Noto Sans CJK SC"/>
                <w:b w:val="0"/>
                <w:color w:val="17212B"/>
                <w:sz w:val="21"/>
              </w:rPr>
              <w:t>本版只保留总城、高墙里、兽山、废机坟与裂口的城市设定。所有具名人物、人物小传、人物设定图、人物关系、人物归属索引及人物待确认问题均已删除；城市章节不依靠剧情补充空白。</w:t>
            </w:r>
          </w:p>
        </w:tc>
        <w:trPr>
          <w:tblHeader/>
        </w:trPr>
      </w:tr>
    </w:tbl>
    <w:p>
      <w:pPr>
        <w:spacing w:after="40"/>
      </w:pPr>
    </w:p>
    <w:tbl>
      <w:tblPr>
        <w:tblStyle w:val="TableGrid"/>
        <w:tblW w:type="dxa" w:w="9360"/>
        <w:jc w:val="center"/>
        <w:tblLayout w:type="fixed"/>
        <w:tblLook w:firstColumn="1" w:firstRow="1" w:lastColumn="0" w:lastRow="0" w:noHBand="0" w:noVBand="1" w:val="04A0"/>
        <w:tblInd w:w="120" w:type="dxa"/>
      </w:tblPr>
      <w:tblGrid>
        <w:gridCol w:w="900"/>
        <w:gridCol w:w="5100"/>
        <w:gridCol w:w="3360"/>
      </w:tblGrid>
      <w:tr>
        <w:trPr>
          <w:tblHeader w:val="true"/>
          <w:cantSplit/>
        </w:trPr>
        <w:tc>
          <w:tcPr>
            <w:tcW w:type="dxa" w:w="9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优先级</w:t>
            </w:r>
          </w:p>
        </w:tc>
        <w:tc>
          <w:tcPr>
            <w:tcW w:type="dxa" w:w="510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需要确认的城市问题</w:t>
            </w:r>
          </w:p>
        </w:tc>
        <w:tc>
          <w:tcPr>
            <w:tcW w:type="dxa" w:w="3360"/>
            <w:tcMar>
              <w:top w:w="80" w:type="dxa"/>
              <w:start w:w="120" w:type="dxa"/>
              <w:bottom w:w="80" w:type="dxa"/>
              <w:end w:w="120" w:type="dxa"/>
            </w:tcMar>
            <w:shd w:fill="EAF0F3"/>
            <w:vAlign w:val="center"/>
          </w:tcPr>
          <w:p>
            <w:pPr>
              <w:spacing w:after="0"/>
            </w:pPr>
            <w:r>
              <w:rPr>
                <w:rFonts w:ascii="Noto Sans CJK SC" w:hAnsi="Noto Sans CJK SC" w:eastAsia="Noto Sans CJK SC"/>
                <w:b/>
                <w:color w:val="244C66"/>
                <w:sz w:val="19"/>
              </w:rPr>
              <w:t>会影响的城市美术内容</w:t>
            </w:r>
          </w:p>
        </w:tc>
      </w:tr>
      <w:tr>
        <w:trPr>
          <w:cantSplit/>
        </w:trPr>
        <w:tc>
          <w:tcPr>
            <w:tcW w:type="dxa" w:w="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A</w:t>
            </w:r>
          </w:p>
        </w:tc>
        <w:tc>
          <w:tcPr>
            <w:tcW w:type="dxa" w:w="5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兽山由谁治理？是否存在正式阶层、议事、继承或祭祀权力体系？</w:t>
            </w:r>
          </w:p>
        </w:tc>
        <w:tc>
          <w:tcPr>
            <w:tcW w:type="dxa" w:w="33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中心建筑、公共标志、空间等级、集会场所和不同聚落之间的关系。</w:t>
            </w:r>
          </w:p>
        </w:tc>
      </w:tr>
      <w:tr>
        <w:trPr>
          <w:cantSplit/>
        </w:trPr>
        <w:tc>
          <w:tcPr>
            <w:tcW w:type="dxa" w:w="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A</w:t>
            </w:r>
          </w:p>
        </w:tc>
        <w:tc>
          <w:tcPr>
            <w:tcW w:type="dxa" w:w="5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高墙里的公司与政府是否为同一体系？这套城市管理系统的正式总称是什么？</w:t>
            </w:r>
          </w:p>
        </w:tc>
        <w:tc>
          <w:tcPr>
            <w:tcW w:type="dxa" w:w="33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城市徽记、行政建筑、企业标识、制服系统、门禁和公共信息设计。</w:t>
            </w:r>
          </w:p>
        </w:tc>
      </w:tr>
      <w:tr>
        <w:trPr>
          <w:cantSplit/>
        </w:trPr>
        <w:tc>
          <w:tcPr>
            <w:tcW w:type="dxa" w:w="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A</w:t>
            </w:r>
          </w:p>
        </w:tc>
        <w:tc>
          <w:tcPr>
            <w:tcW w:type="dxa" w:w="5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人工白昼是否正式锁定为高墙里的城市基础设施？由谁控制，底层通过什么方式获得？</w:t>
            </w:r>
          </w:p>
        </w:tc>
        <w:tc>
          <w:tcPr>
            <w:tcW w:type="dxa" w:w="33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拟日核心、照明管网、晒场、日缝、光照配额和上下层光线差异。</w:t>
            </w:r>
          </w:p>
        </w:tc>
      </w:tr>
      <w:tr>
        <w:trPr>
          <w:cantSplit/>
        </w:trPr>
        <w:tc>
          <w:tcPr>
            <w:tcW w:type="dxa" w:w="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A</w:t>
            </w:r>
          </w:p>
        </w:tc>
        <w:tc>
          <w:tcPr>
            <w:tcW w:type="dxa" w:w="5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废机坟的能源、交换方式、回用授权与治理主体分别是什么？</w:t>
            </w:r>
          </w:p>
        </w:tc>
        <w:tc>
          <w:tcPr>
            <w:tcW w:type="dxa" w:w="33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供能区、市场、登记设施、拆解空间、社会层级和公共建筑。</w:t>
            </w:r>
          </w:p>
        </w:tc>
      </w:tr>
      <w:tr>
        <w:trPr>
          <w:cantSplit/>
        </w:trPr>
        <w:tc>
          <w:tcPr>
            <w:tcW w:type="dxa" w:w="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B</w:t>
            </w:r>
          </w:p>
        </w:tc>
        <w:tc>
          <w:tcPr>
            <w:tcW w:type="dxa" w:w="5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三方边界是否存在统一通行证、检查站或跨区运输规则？</w:t>
            </w:r>
          </w:p>
        </w:tc>
        <w:tc>
          <w:tcPr>
            <w:tcW w:type="dxa" w:w="33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总城交通、边界设施、货运节点、排队区和非法路线。</w:t>
            </w:r>
          </w:p>
        </w:tc>
      </w:tr>
      <w:tr>
        <w:trPr>
          <w:cantSplit/>
        </w:trPr>
        <w:tc>
          <w:tcPr>
            <w:tcW w:type="dxa" w:w="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B</w:t>
            </w:r>
          </w:p>
        </w:tc>
        <w:tc>
          <w:tcPr>
            <w:tcW w:type="dxa" w:w="5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笼城的总供水、总能源与废弃物循环是否由同一系统承担？</w:t>
            </w:r>
          </w:p>
        </w:tc>
        <w:tc>
          <w:tcPr>
            <w:tcW w:type="dxa" w:w="33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总城管网、能源地标、排水结构与三城之间的资源依赖。</w:t>
            </w:r>
          </w:p>
        </w:tc>
      </w:tr>
      <w:tr>
        <w:trPr>
          <w:cantSplit/>
        </w:trPr>
        <w:tc>
          <w:tcPr>
            <w:tcW w:type="dxa" w:w="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B</w:t>
            </w:r>
          </w:p>
        </w:tc>
        <w:tc>
          <w:tcPr>
            <w:tcW w:type="dxa" w:w="5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兽山以什么衡量财富与公共贡献：食物、土地、血脉、手艺、记忆还是其他方式？</w:t>
            </w:r>
          </w:p>
        </w:tc>
        <w:tc>
          <w:tcPr>
            <w:tcW w:type="dxa" w:w="33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市场形态、住宅差异、仓储、公共设施与视觉上的社会层次。</w:t>
            </w:r>
          </w:p>
        </w:tc>
      </w:tr>
      <w:tr>
        <w:trPr>
          <w:cantSplit/>
        </w:trPr>
        <w:tc>
          <w:tcPr>
            <w:tcW w:type="dxa" w:w="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B</w:t>
            </w:r>
          </w:p>
        </w:tc>
        <w:tc>
          <w:tcPr>
            <w:tcW w:type="dxa" w:w="5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裂口的长期经营者如何获得摊位、码头、酒馆和路线的使用权？</w:t>
            </w:r>
          </w:p>
        </w:tc>
        <w:tc>
          <w:tcPr>
            <w:tcW w:type="dxa" w:w="33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市场边界、租用标记、担保机制、路线控制和临时秩序。</w:t>
            </w:r>
          </w:p>
        </w:tc>
      </w:tr>
      <w:tr>
        <w:trPr>
          <w:cantSplit/>
        </w:trPr>
        <w:tc>
          <w:tcPr>
            <w:tcW w:type="dxa" w:w="9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C</w:t>
            </w:r>
          </w:p>
        </w:tc>
        <w:tc>
          <w:tcPr>
            <w:tcW w:type="dxa" w:w="510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外环带是否进入本赛季的城市美术开发？</w:t>
            </w:r>
          </w:p>
        </w:tc>
        <w:tc>
          <w:tcPr>
            <w:tcW w:type="dxa" w:w="3360"/>
            <w:vAlign w:val="center"/>
            <w:tcMar>
              <w:top w:w="80" w:type="dxa"/>
              <w:start w:w="120" w:type="dxa"/>
              <w:bottom w:w="80" w:type="dxa"/>
              <w:end w:w="120" w:type="dxa"/>
            </w:tcMar>
          </w:tcPr>
          <w:p>
            <w:pPr>
              <w:spacing w:after="0" w:line="264" w:lineRule="auto"/>
            </w:pPr>
            <w:r>
              <w:rPr>
                <w:rFonts w:ascii="Noto Sans CJK SC" w:hAnsi="Noto Sans CJK SC" w:eastAsia="Noto Sans CJK SC"/>
                <w:b w:val="0"/>
                <w:color w:val="17212B"/>
                <w:sz w:val="18"/>
              </w:rPr>
              <w:t>总城轮廓、边界天气、外部交通与新增场景资产预算。</w:t>
            </w:r>
          </w:p>
        </w:tc>
      </w:tr>
    </w:tbl>
    <w:p>
      <w:pPr>
        <w:spacing w:after="40"/>
      </w:pPr>
    </w:p>
    <w:tbl>
      <w:tblPr>
        <w:tblW w:type="dxa" w:w="9360"/>
        <w:jc w:val="center"/>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F2DDDD"/>
          </w:tcPr>
          <w:p>
            <w:pPr>
              <w:spacing w:after="0"/>
            </w:pPr>
            <w:r>
              <w:rPr>
                <w:rFonts w:ascii="Noto Sans CJK SC" w:hAnsi="Noto Sans CJK SC" w:eastAsia="Noto Sans CJK SC"/>
                <w:b/>
                <w:color w:val="244C66"/>
                <w:sz w:val="21"/>
              </w:rPr>
              <w:t xml:space="preserve">[待确认] 英文品牌名  </w:t>
            </w:r>
            <w:r>
              <w:rPr>
                <w:rFonts w:ascii="Noto Sans CJK SC" w:hAnsi="Noto Sans CJK SC" w:eastAsia="Noto Sans CJK SC"/>
                <w:b w:val="0"/>
                <w:color w:val="17212B"/>
                <w:sz w:val="21"/>
              </w:rPr>
              <w:t>最终预告片使用 LONGCHENG / THE CAGED CITY，但长期英文品牌名尚未正式锁定。本文件只将其作为现有英文呈现，不解释为永久商标。</w:t>
            </w:r>
          </w:p>
        </w:tc>
        <w:trPr>
          <w:tblHeader/>
        </w:trPr>
      </w:tr>
    </w:tbl>
    <w:p>
      <w:pPr>
        <w:spacing w:after="40"/>
      </w:pPr>
    </w:p>
    <w:p>
      <w:pPr>
        <w:pStyle w:val="Smallnote"/>
        <w:keepLines w:val="0"/>
      </w:pPr>
      <w:r>
        <w:rPr>
          <w:rFonts w:ascii="Noto Sans CJK SC" w:hAnsi="Noto Sans CJK SC" w:eastAsia="Noto Sans CJK SC"/>
        </w:rPr>
        <w:t>— 《笼城》参赛城市设定集结束 —</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Pr>
        <w:rFonts w:ascii="Noto Sans CJK SC" w:hAnsi="Noto Sans CJK SC" w:eastAsia="Noto Sans CJK SC"/>
        <w:b/>
        <w:color w:val="66737E"/>
        <w:sz w:val="17"/>
      </w:rPr>
      <w:t xml:space="preserve">LONGCHENG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Noto Sans CJK SC" w:hAnsi="Noto Sans CJK SC" w:eastAsia="Noto Sans CJK SC"/>
        <w:b/>
        <w:color w:val="66737E"/>
        <w:sz w:val="17"/>
      </w:rPr>
      <w:t>《笼城》 · CITY ART BIBLE · CURRENT CANON · 2026.08.13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jc w:val="left"/>
    </w:pPr>
    <w:rPr>
      <w:rFonts w:ascii="Noto Sans CJK SC" w:hAnsi="Noto Sans CJK SC" w:eastAsia="Noto Sans CJK SC"/>
      <w:color w:val="1721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Noto Sans CJK SC" w:hAnsi="Noto Sans CJK SC" w:eastAsia="Noto Sans CJK SC"/>
      <w:b/>
      <w:bCs/>
      <w:color w:val="244C66"/>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Noto Sans CJK SC" w:hAnsi="Noto Sans CJK SC" w:eastAsia="Noto Sans CJK SC"/>
      <w:b/>
      <w:bCs/>
      <w:color w:val="244C66"/>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Noto Sans CJK SC" w:hAnsi="Noto Sans CJK SC" w:eastAsia="Noto Sans CJK SC"/>
      <w:b/>
      <w:bCs/>
      <w:color w:val="2E6F83"/>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Noto Sans CJK SC" w:hAnsi="Noto Sans CJK SC" w:eastAsia="Noto Sans CJK SC"/>
      <w:b/>
      <w:color w:val="17212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Noto Sans CJK SC" w:hAnsi="Noto Sans CJK SC" w:eastAsia="Noto Sans CJK SC"/>
      <w:b w:val="0"/>
      <w:i/>
      <w:iCs/>
      <w:color w:val="66737E"/>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300" w:lineRule="auto"/>
      <w:ind w:left="540" w:hanging="271"/>
      <w:contextualSpacing/>
    </w:pPr>
    <w:rPr>
      <w:rFonts w:ascii="Noto Sans CJK SC" w:hAnsi="Noto Sans CJK SC" w:eastAsia="Noto Sans CJK SC"/>
      <w:color w:val="17212B"/>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300" w:lineRule="auto"/>
      <w:ind w:left="540" w:hanging="271"/>
      <w:contextualSpacing/>
    </w:pPr>
    <w:rPr>
      <w:rFonts w:ascii="Noto Sans CJK SC" w:hAnsi="Noto Sans CJK SC" w:eastAsia="Noto Sans CJK SC"/>
      <w:color w:val="17212B"/>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line="264" w:lineRule="auto"/>
    </w:pPr>
    <w:rPr>
      <w:rFonts w:ascii="Noto Sans CJK SC" w:hAnsi="Noto Sans CJK SC" w:eastAsia="Noto Sans CJK SC"/>
      <w:color w:val="66737E"/>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image" Target="media/image9.jpg"/><Relationship Id="rId20" Type="http://schemas.openxmlformats.org/officeDocument/2006/relationships/image" Target="media/image10.jpg"/><Relationship Id="rId21" Type="http://schemas.openxmlformats.org/officeDocument/2006/relationships/image" Target="media/image11.jpg"/><Relationship Id="rId22" Type="http://schemas.openxmlformats.org/officeDocument/2006/relationships/image" Target="media/image12.jpg"/><Relationship Id="rId23" Type="http://schemas.openxmlformats.org/officeDocument/2006/relationships/image" Target="media/image13.jpg"/><Relationship Id="rId24" Type="http://schemas.openxmlformats.org/officeDocument/2006/relationships/image" Target="media/image14.jpg"/><Relationship Id="rId25" Type="http://schemas.openxmlformats.org/officeDocument/2006/relationships/image" Target="media/image15.jpg"/><Relationship Id="rId26" Type="http://schemas.openxmlformats.org/officeDocument/2006/relationships/image" Target="media/image16.jpg"/><Relationship Id="rId27" Type="http://schemas.openxmlformats.org/officeDocument/2006/relationships/image" Target="media/image17.jpg"/><Relationship Id="rId28" Type="http://schemas.openxmlformats.org/officeDocument/2006/relationships/image" Target="media/image18.jpg"/><Relationship Id="rId29" Type="http://schemas.openxmlformats.org/officeDocument/2006/relationships/image" Target="media/image19.jpg"/><Relationship Id="rId30" Type="http://schemas.openxmlformats.org/officeDocument/2006/relationships/image" Target="media/image20.jpg"/><Relationship Id="rId31" Type="http://schemas.openxmlformats.org/officeDocument/2006/relationships/image" Target="media/image21.jpg"/><Relationship Id="rId32" Type="http://schemas.openxmlformats.org/officeDocument/2006/relationships/image" Target="media/image22.jpg"/><Relationship Id="rId33" Type="http://schemas.openxmlformats.org/officeDocument/2006/relationships/image" Target="media/image23.jpg"/><Relationship Id="rId34" Type="http://schemas.openxmlformats.org/officeDocument/2006/relationships/image" Target="media/image24.jpg"/><Relationship Id="rId35" Type="http://schemas.openxmlformats.org/officeDocument/2006/relationships/image" Target="media/image25.jpg"/><Relationship Id="rId36" Type="http://schemas.openxmlformats.org/officeDocument/2006/relationships/image" Target="media/image26.jpg"/><Relationship Id="rId37" Type="http://schemas.openxmlformats.org/officeDocument/2006/relationships/image" Target="media/image27.jpg"/><Relationship Id="rId38" Type="http://schemas.openxmlformats.org/officeDocument/2006/relationships/image" Target="media/image28.jpg"/><Relationship Id="rId39" Type="http://schemas.openxmlformats.org/officeDocument/2006/relationships/image" Target="media/image29.jpg"/><Relationship Id="rId40" Type="http://schemas.openxmlformats.org/officeDocument/2006/relationships/image" Target="media/image30.jpg"/><Relationship Id="rId41" Type="http://schemas.openxmlformats.org/officeDocument/2006/relationships/image" Target="media/image31.jpg"/><Relationship Id="rId42" Type="http://schemas.openxmlformats.org/officeDocument/2006/relationships/image" Target="media/image32.jpg"/><Relationship Id="rId43" Type="http://schemas.openxmlformats.org/officeDocument/2006/relationships/image" Target="media/image33.jpg"/><Relationship Id="rId44" Type="http://schemas.openxmlformats.org/officeDocument/2006/relationships/image" Target="media/image34.jpg"/><Relationship Id="rId45" Type="http://schemas.openxmlformats.org/officeDocument/2006/relationships/image" Target="media/image35.jpg"/><Relationship Id="rId46" Type="http://schemas.openxmlformats.org/officeDocument/2006/relationships/image" Target="media/image36.jpg"/><Relationship Id="rId47" Type="http://schemas.openxmlformats.org/officeDocument/2006/relationships/image" Target="media/image37.jpg"/><Relationship Id="rId48" Type="http://schemas.openxmlformats.org/officeDocument/2006/relationships/image" Target="media/image38.jpg"/><Relationship Id="rId49" Type="http://schemas.openxmlformats.org/officeDocument/2006/relationships/image" Target="media/image39.jpg"/><Relationship Id="rId50" Type="http://schemas.openxmlformats.org/officeDocument/2006/relationships/image" Target="media/image40.jpg"/><Relationship Id="rId51" Type="http://schemas.openxmlformats.org/officeDocument/2006/relationships/image" Target="media/image41.jpg"/><Relationship Id="rId52" Type="http://schemas.openxmlformats.org/officeDocument/2006/relationships/image" Target="media/image42.jpg"/><Relationship Id="rId53" Type="http://schemas.openxmlformats.org/officeDocument/2006/relationships/image" Target="media/image43.jpg"/><Relationship Id="rId54" Type="http://schemas.openxmlformats.org/officeDocument/2006/relationships/image" Target="media/image44.jpg"/><Relationship Id="rId55" Type="http://schemas.openxmlformats.org/officeDocument/2006/relationships/image" Target="media/image45.jpg"/><Relationship Id="rId56" Type="http://schemas.openxmlformats.org/officeDocument/2006/relationships/image" Target="media/image46.jpg"/><Relationship Id="rId57" Type="http://schemas.openxmlformats.org/officeDocument/2006/relationships/image" Target="media/image47.jpg"/><Relationship Id="rId58" Type="http://schemas.openxmlformats.org/officeDocument/2006/relationships/image" Target="media/image48.jpg"/><Relationship Id="rId59" Type="http://schemas.openxmlformats.org/officeDocument/2006/relationships/image" Target="media/image49.jpg"/><Relationship Id="rId60" Type="http://schemas.openxmlformats.org/officeDocument/2006/relationships/image" Target="media/image50.jpg"/><Relationship Id="rId61" Type="http://schemas.openxmlformats.org/officeDocument/2006/relationships/image" Target="media/image51.jpg"/><Relationship Id="rId62" Type="http://schemas.openxmlformats.org/officeDocument/2006/relationships/image" Target="media/image52.jpg"/><Relationship Id="rId63" Type="http://schemas.openxmlformats.org/officeDocument/2006/relationships/image" Target="media/image53.jpg"/><Relationship Id="rId64" Type="http://schemas.openxmlformats.org/officeDocument/2006/relationships/image" Target="media/image54.jpg"/><Relationship Id="rId65" Type="http://schemas.openxmlformats.org/officeDocument/2006/relationships/image" Target="media/image55.jpg"/><Relationship Id="rId66" Type="http://schemas.openxmlformats.org/officeDocument/2006/relationships/image" Target="media/image56.jpg"/><Relationship Id="rId67" Type="http://schemas.openxmlformats.org/officeDocument/2006/relationships/image" Target="media/image57.jpg"/><Relationship Id="rId68" Type="http://schemas.openxmlformats.org/officeDocument/2006/relationships/image" Target="media/image58.jpg"/><Relationship Id="rId69" Type="http://schemas.openxmlformats.org/officeDocument/2006/relationships/image" Target="media/image59.jpg"/><Relationship Id="rId70" Type="http://schemas.openxmlformats.org/officeDocument/2006/relationships/image" Target="media/image60.jpg"/><Relationship Id="rId71" Type="http://schemas.openxmlformats.org/officeDocument/2006/relationships/image" Target="media/image61.jpg"/><Relationship Id="rId72" Type="http://schemas.openxmlformats.org/officeDocument/2006/relationships/image" Target="media/image62.jpg"/><Relationship Id="rId73" Type="http://schemas.openxmlformats.org/officeDocument/2006/relationships/image" Target="media/image6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《笼城》参赛城市设定集｜2026-08-13当前正典版</dc:title>
  <dc:subject>笼城总城、高墙里、兽山、废机坟与裂口的纯城市美术设定</dc:subject>
  <dc:creator>python-docx</dc:creator>
  <cp:keywords>笼城, 赛博山海经, 城市设定, 美术设定, 概念设计</cp:keywords>
  <dc:description>generated by python-docx</dc:description>
  <cp:lastModifiedBy/>
  <cp:revision>1</cp:revision>
  <dcterms:created xsi:type="dcterms:W3CDTF">2013-12-23T23:15:00Z</dcterms:created>
  <dcterms:modified xsi:type="dcterms:W3CDTF">2013-12-23T23:15:00Z</dcterms:modified>
  <cp:category/>
</cp:coreProperties>
</file>